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Pr>
        <w:pStyle w:val="Estndar"/>
        <w:rPr>
          <w:rFonts w:ascii="ITC New Baskerville Std" w:hAnsi="ITC New Baskerville Std"/>
          <w:sz w:val="48"/>
          <w:szCs w:val="48"/>
          <w:lang w:val="gl-ES"/>
        </w:rPr>
      </w:pPr>
    </w:p>
    <w:p w:rsidR="00A203FE" w:rsidRPr="00025B8A" w:rsidRDefault="00A203FE" w:rsidP="00A203FE">
      <w:pPr>
        <w:pStyle w:val="Estndar"/>
        <w:ind w:left="4962"/>
        <w:rPr>
          <w:rFonts w:ascii="ITC New Baskerville Std" w:hAnsi="ITC New Baskerville Std"/>
          <w:sz w:val="48"/>
          <w:szCs w:val="48"/>
          <w:lang w:val="gl-ES"/>
        </w:rPr>
      </w:pPr>
    </w:p>
    <w:p w:rsidR="00A203FE" w:rsidRDefault="00A203FE" w:rsidP="002F0579">
      <w:pPr>
        <w:pStyle w:val="Estndar"/>
        <w:ind w:left="3969"/>
        <w:rPr>
          <w:rFonts w:ascii="ITC New Baskerville Std" w:hAnsi="ITC New Baskerville Std"/>
          <w:sz w:val="48"/>
          <w:szCs w:val="48"/>
          <w:lang w:val="gl-ES"/>
        </w:rPr>
      </w:pPr>
      <w:r w:rsidRPr="00025B8A">
        <w:rPr>
          <w:rFonts w:ascii="ITC New Baskerville Std" w:hAnsi="ITC New Baskerville Std"/>
          <w:sz w:val="48"/>
          <w:szCs w:val="48"/>
          <w:lang w:val="gl-ES"/>
        </w:rPr>
        <w:t>Convenio de cooperación educativa con</w:t>
      </w:r>
      <w:r>
        <w:rPr>
          <w:rFonts w:ascii="ITC New Baskerville Std" w:hAnsi="ITC New Baskerville Std"/>
          <w:sz w:val="48"/>
          <w:szCs w:val="48"/>
          <w:lang w:val="gl-ES"/>
        </w:rPr>
        <w:t xml:space="preserve"> </w:t>
      </w:r>
      <w:r w:rsidR="000C7478">
        <w:rPr>
          <w:rFonts w:ascii="ITC New Baskerville Std" w:hAnsi="ITC New Baskerville Std"/>
          <w:sz w:val="48"/>
          <w:szCs w:val="48"/>
          <w:lang w:val="gl-ES"/>
        </w:rPr>
        <w:t>(nome da empresa)</w:t>
      </w:r>
    </w:p>
    <w:p w:rsidR="00A203FE" w:rsidRPr="00025B8A" w:rsidRDefault="00A203FE" w:rsidP="00A203FE">
      <w:pPr>
        <w:pStyle w:val="Estndar"/>
        <w:rPr>
          <w:rFonts w:ascii="ITC New Baskerville Std" w:hAnsi="ITC New Baskerville Std"/>
          <w:b/>
          <w:sz w:val="22"/>
          <w:szCs w:val="22"/>
          <w:lang w:val="gl-ES"/>
        </w:rPr>
      </w:pPr>
    </w:p>
    <w:p w:rsidR="00A203FE" w:rsidRDefault="00A203FE"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p>
    <w:p w:rsidR="00A203FE" w:rsidRDefault="00A203FE">
      <w:pPr>
        <w:rPr>
          <w:rFonts w:ascii="ITC New Baskerville Std" w:eastAsia="Times New Roman" w:hAnsi="ITC New Baskerville Std" w:cs="Times New Roman"/>
          <w:sz w:val="24"/>
          <w:szCs w:val="24"/>
          <w:lang w:val="gl-ES" w:eastAsia="es-ES"/>
        </w:rPr>
      </w:pPr>
      <w:r>
        <w:rPr>
          <w:rFonts w:ascii="ITC New Baskerville Std" w:eastAsia="Times New Roman" w:hAnsi="ITC New Baskerville Std" w:cs="Times New Roman"/>
          <w:sz w:val="24"/>
          <w:szCs w:val="24"/>
          <w:lang w:val="gl-ES" w:eastAsia="es-ES"/>
        </w:rPr>
        <w:br w:type="page"/>
      </w:r>
    </w:p>
    <w:p w:rsidR="00453EDA" w:rsidRPr="00453EDA" w:rsidRDefault="00453EDA"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lastRenderedPageBreak/>
        <w:t xml:space="preserve">CONVENIO DE COOPERACIÓN EDUCATIVA ENTRE </w:t>
      </w:r>
      <w:r w:rsidR="000C7478" w:rsidRPr="000F5BCF">
        <w:rPr>
          <w:rFonts w:ascii="ITC New Baskerville Std" w:eastAsia="Times New Roman" w:hAnsi="ITC New Baskerville Std" w:cs="Times New Roman"/>
          <w:sz w:val="24"/>
          <w:szCs w:val="24"/>
          <w:highlight w:val="lightGray"/>
          <w:lang w:val="gl-ES" w:eastAsia="es-ES"/>
        </w:rPr>
        <w:t>(nome da empresa)</w:t>
      </w:r>
      <w:r w:rsidR="009D5CDC" w:rsidRPr="009D5CDC">
        <w:rPr>
          <w:rFonts w:ascii="ITC New Baskerville Std" w:eastAsia="Times New Roman" w:hAnsi="ITC New Baskerville Std" w:cs="Times New Roman"/>
          <w:sz w:val="24"/>
          <w:szCs w:val="24"/>
          <w:lang w:val="gl-ES" w:eastAsia="es-ES"/>
        </w:rPr>
        <w:t xml:space="preserve"> </w:t>
      </w:r>
      <w:r w:rsidRPr="00453EDA">
        <w:rPr>
          <w:rFonts w:ascii="ITC New Baskerville Std" w:eastAsia="Times New Roman" w:hAnsi="ITC New Baskerville Std" w:cs="Times New Roman"/>
          <w:sz w:val="24"/>
          <w:szCs w:val="24"/>
          <w:lang w:val="gl-ES" w:eastAsia="es-ES"/>
        </w:rPr>
        <w:t xml:space="preserve">E A UNIVERSIDADE DE VIGO PARA REALIZAR PRÁCTICAS ACADÉMICAS EXTERNAS </w:t>
      </w: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453EDA" w:rsidRPr="00453EDA" w:rsidRDefault="0037152F"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REÚNENSE:</w:t>
      </w:r>
    </w:p>
    <w:p w:rsidR="00453EDA" w:rsidRPr="00453EDA" w:rsidRDefault="00E700A7" w:rsidP="000E4025">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Dunha parte, don Manuel Joaquín Reigosa Roger, Reitor Magnífico da Universidade de Vigo, nomeado segundo o Decreto da Comunidade Autónoma de Galicia 59/2018, do 31 de maio, publicado no Diario Oficial de Galicia (DOG) nº 109, do 8 de xuño de 2018, de acordo coas competencias que lle outorga o artigo 20 da Lei orgánica 6/2001, do 21 de decembro, de Universidades, e o artigo 29 dos Estatutos da Universidade de Vigo, aprobados polo Decreto 13/2019, do 24 de xaneiro, e publicados no DOG nº 38, do 22 de febreiro do 2019. Con enderezo en Edificio Exeria, campus universitario, 36310 Vigo</w:t>
      </w:r>
      <w:r>
        <w:rPr>
          <w:rFonts w:ascii="Arial" w:hAnsi="Arial" w:cs="Arial"/>
          <w:sz w:val="24"/>
          <w:szCs w:val="24"/>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Doutra, </w:t>
      </w:r>
      <w:bookmarkStart w:id="0" w:name="Texto6"/>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0"/>
      <w:r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highlight w:val="lightGray"/>
          <w:lang w:val="gl-ES"/>
        </w:rPr>
        <w:t>(cargo)</w:t>
      </w:r>
      <w:r w:rsidRPr="00453EDA">
        <w:rPr>
          <w:rFonts w:ascii="ITC New Baskerville Std" w:eastAsia="Cambria" w:hAnsi="ITC New Baskerville Std" w:cs="Cambria Math"/>
          <w:sz w:val="24"/>
          <w:szCs w:val="24"/>
          <w:lang w:val="gl-ES"/>
        </w:rPr>
        <w:t xml:space="preserve">, en representación de </w:t>
      </w:r>
      <w:r w:rsidR="000C7478" w:rsidRPr="000F5BCF">
        <w:rPr>
          <w:rFonts w:ascii="ITC New Baskerville Std" w:eastAsia="Cambria" w:hAnsi="ITC New Baskerville Std" w:cs="Cambria Math"/>
          <w:sz w:val="24"/>
          <w:szCs w:val="24"/>
          <w:highlight w:val="lightGray"/>
          <w:lang w:val="gl-ES"/>
        </w:rPr>
        <w:t>(empresa)</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e con enderezo social na rúa de </w:t>
      </w:r>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núm. </w:t>
      </w:r>
      <w:r w:rsidR="00C84D71" w:rsidRPr="00453EDA">
        <w:rPr>
          <w:rFonts w:ascii="ITC New Baskerville Std" w:eastAsia="Cambria" w:hAnsi="ITC New Baskerville Std" w:cs="Cambria Math"/>
          <w:sz w:val="24"/>
          <w:szCs w:val="24"/>
          <w:lang w:val="gl-ES"/>
        </w:rPr>
        <w:fldChar w:fldCharType="begin">
          <w:ffData>
            <w:name w:val="Texto10"/>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de </w:t>
      </w:r>
      <w:r w:rsidR="00C84D71" w:rsidRPr="00453EDA">
        <w:rPr>
          <w:rFonts w:ascii="ITC New Baskerville Std" w:eastAsia="Cambria" w:hAnsi="ITC New Baskerville Std" w:cs="Cambria Math"/>
          <w:sz w:val="24"/>
          <w:szCs w:val="24"/>
          <w:lang w:val="gl-ES"/>
        </w:rPr>
        <w:fldChar w:fldCharType="begin">
          <w:ffData>
            <w:name w:val="Texto11"/>
            <w:enabled/>
            <w:calcOnExit w:val="0"/>
            <w:textInput/>
          </w:ffData>
        </w:fldChar>
      </w:r>
      <w:bookmarkStart w:id="1" w:name="Texto11"/>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1"/>
      <w:r w:rsidRPr="00453EDA">
        <w:rPr>
          <w:rFonts w:ascii="ITC New Baskerville Std" w:eastAsia="Cambria" w:hAnsi="ITC New Baskerville Std" w:cs="Cambria Math"/>
          <w:sz w:val="24"/>
          <w:szCs w:val="24"/>
          <w:lang w:val="gl-ES"/>
        </w:rPr>
        <w:t xml:space="preserve"> e CIF </w:t>
      </w:r>
      <w:r w:rsidR="00C84D71" w:rsidRPr="00453EDA">
        <w:rPr>
          <w:rFonts w:ascii="ITC New Baskerville Std" w:eastAsia="Cambria" w:hAnsi="ITC New Baskerville Std" w:cs="Cambria Math"/>
          <w:sz w:val="24"/>
          <w:szCs w:val="24"/>
          <w:lang w:val="gl-ES"/>
        </w:rPr>
        <w:fldChar w:fldCharType="begin">
          <w:ffData>
            <w:name w:val="Texto13"/>
            <w:enabled/>
            <w:calcOnExit w:val="0"/>
            <w:textInput/>
          </w:ffData>
        </w:fldChar>
      </w:r>
      <w:bookmarkStart w:id="2" w:name="Texto13"/>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2"/>
      <w:r w:rsidRPr="00453EDA">
        <w:rPr>
          <w:rFonts w:ascii="ITC New Baskerville Std" w:eastAsia="Cambria" w:hAnsi="ITC New Baskerville Std" w:cs="Cambria Math"/>
          <w:sz w:val="24"/>
          <w:szCs w:val="24"/>
          <w:lang w:val="gl-ES"/>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Ambas as partes teñen plena capacidade para levar adiante o presente convenio de cooperación educativa 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EXPOÑEN:</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t>Que o interese de ambas as entidades é facilitar a preparación para o exercicio profesional do alumnado universitario nas áreas operativas das empresas e a súa incorporación futura ao traballo dentro da sociedade.</w:t>
      </w:r>
    </w:p>
    <w:p w:rsidR="00042DD6" w:rsidRPr="00453EDA" w:rsidRDefault="008D2F2B"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2 </w:t>
      </w:r>
      <w:r>
        <w:rPr>
          <w:rFonts w:ascii="ITC New Baskerville Std" w:eastAsia="Cambria" w:hAnsi="ITC New Baskerville Std" w:cs="Cambria Math"/>
          <w:sz w:val="24"/>
          <w:szCs w:val="24"/>
          <w:lang w:val="gl-ES"/>
        </w:rPr>
        <w:tab/>
        <w:t>Con este fin</w:t>
      </w:r>
      <w:r w:rsidR="00453EDA" w:rsidRPr="00453EDA">
        <w:rPr>
          <w:rFonts w:ascii="ITC New Baskerville Std" w:eastAsia="Cambria" w:hAnsi="ITC New Baskerville Std" w:cs="Cambria Math"/>
          <w:sz w:val="24"/>
          <w:szCs w:val="24"/>
          <w:lang w:val="gl-ES"/>
        </w:rPr>
        <w:t>, acordan establecer un convenio de cooperación educativa sometido ás seguintes</w:t>
      </w:r>
    </w:p>
    <w:p w:rsidR="00674FBF" w:rsidRDefault="00674FBF" w:rsidP="000E4025">
      <w:pPr>
        <w:spacing w:line="22" w:lineRule="atLeast"/>
        <w:jc w:val="center"/>
        <w:rPr>
          <w:rFonts w:ascii="ITC New Baskerville Std" w:eastAsia="Batang" w:hAnsi="ITC New Baskerville Std" w:cs="Times New Roman"/>
          <w:sz w:val="24"/>
          <w:szCs w:val="24"/>
          <w:lang w:val="gl-ES" w:eastAsia="es-ES"/>
        </w:rPr>
      </w:pPr>
    </w:p>
    <w:p w:rsidR="00453EDA" w:rsidRPr="00042DD6" w:rsidRDefault="00453EDA" w:rsidP="000E4025">
      <w:pPr>
        <w:spacing w:line="22" w:lineRule="atLeast"/>
        <w:jc w:val="center"/>
        <w:rPr>
          <w:rFonts w:ascii="ITC New Baskerville Std" w:eastAsia="Batang" w:hAnsi="ITC New Baskerville Std" w:cs="Times New Roman"/>
          <w:sz w:val="24"/>
          <w:szCs w:val="24"/>
          <w:lang w:val="gl-ES" w:eastAsia="es-ES"/>
        </w:rPr>
      </w:pPr>
      <w:r w:rsidRPr="00453EDA">
        <w:rPr>
          <w:rFonts w:ascii="ITC New Baskerville Std" w:eastAsia="Batang" w:hAnsi="ITC New Baskerville Std" w:cs="Times New Roman"/>
          <w:sz w:val="24"/>
          <w:szCs w:val="24"/>
          <w:lang w:val="gl-ES" w:eastAsia="es-ES"/>
        </w:rPr>
        <w:t>CLÁUSULAS</w:t>
      </w:r>
    </w:p>
    <w:p w:rsidR="00453EDA" w:rsidRPr="00453EDA" w:rsidRDefault="00453EDA" w:rsidP="000E4025">
      <w:pPr>
        <w:tabs>
          <w:tab w:val="left" w:pos="429"/>
        </w:tabs>
        <w:spacing w:before="400"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PRIMEIRA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O obxecto deste convenio é regular un programa de prácticas académicas externas entre a Universidade de Vigo e </w:t>
      </w:r>
      <w:r w:rsidR="000C7478" w:rsidRPr="000F5BCF">
        <w:rPr>
          <w:rFonts w:ascii="ITC New Baskerville Std" w:eastAsia="Cambria" w:hAnsi="ITC New Baskerville Std" w:cs="Cambria Math"/>
          <w:sz w:val="24"/>
          <w:szCs w:val="24"/>
          <w:highlight w:val="lightGray"/>
          <w:lang w:val="gl-ES"/>
        </w:rPr>
        <w:t>(empresa/entidade)</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para facilitar a preparación para o exercicio profesional do estudantado en áreas operativas da empresa relacionadas coa súa formación universitaria e as posibles saídas profesionais desde os estudos cursados na Universidade de Vigo. Así, promoverase o futuro desenvolvemento profesional e o acceso ao mercado laboral das futuras persoas tituladas universitarias.</w:t>
      </w:r>
    </w:p>
    <w:p w:rsidR="00453EDA" w:rsidRPr="00453EDA" w:rsidRDefault="00453EDA" w:rsidP="000E4025">
      <w:pPr>
        <w:overflowPunct w:val="0"/>
        <w:autoSpaceDE w:val="0"/>
        <w:autoSpaceDN w:val="0"/>
        <w:adjustRightInd w:val="0"/>
        <w:spacing w:before="400" w:line="22" w:lineRule="atLeast"/>
        <w:jc w:val="both"/>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t>SEGUNDA</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Dado o carácter formativo das prácticas académicas externas, da súa realización non se derivarán en ningún caso obrigas propias dunha relación laboral nin o seu contido poderá dar lugar á substitución da prestación laboral propia de postos de traballo. </w:t>
      </w:r>
    </w:p>
    <w:p w:rsidR="00FC326C" w:rsidRDefault="00FC326C" w:rsidP="000E4025">
      <w:pPr>
        <w:tabs>
          <w:tab w:val="left" w:pos="429"/>
        </w:tabs>
        <w:spacing w:line="22" w:lineRule="atLeast"/>
        <w:jc w:val="both"/>
        <w:rPr>
          <w:rFonts w:ascii="ITC New Baskerville Std" w:eastAsia="Cambria" w:hAnsi="ITC New Baskerville Std" w:cs="Cambria Math"/>
          <w:sz w:val="24"/>
          <w:szCs w:val="24"/>
          <w:lang w:val="gl-ES"/>
        </w:rPr>
      </w:pPr>
    </w:p>
    <w:p w:rsidR="00674FBF" w:rsidRPr="00453EDA" w:rsidRDefault="00674FBF" w:rsidP="000E4025">
      <w:pPr>
        <w:tabs>
          <w:tab w:val="left" w:pos="429"/>
        </w:tabs>
        <w:spacing w:line="22" w:lineRule="atLeast"/>
        <w:jc w:val="both"/>
        <w:rPr>
          <w:rFonts w:ascii="ITC New Baskerville Std" w:eastAsia="Cambria" w:hAnsi="ITC New Baskerville Std" w:cs="Cambria Math"/>
          <w:sz w:val="24"/>
          <w:szCs w:val="24"/>
          <w:lang w:val="gl-ES"/>
        </w:rPr>
      </w:pP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lastRenderedPageBreak/>
        <w:t>TERCEIRA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axustarase á normativa aprobada para tramitar, xestionar e difundir as prácticas académicas externas.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De acordo coa devandita normativa, a Universidade de Vigo poderá delegar nunha entidade xestora a execución de prácticas externas extracurriculares. En virtude do convenio asinado para tal efecto entre a Universidade de Vigo e a Fundación Universidade de Vigo, a tramitación, a xestión e a difusión das prácticas externas extracurriculares será responsabilidade da Fundación Universidade de Vigo (Fuvi).</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CUARTA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Poden realizar prácticas académicas externas:</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alumnado matriculado en calquera ensinanza impartida pola Universidade o polos centros adscritos a esta.</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estudantado doutras universidades españolas ou estranxeiras que, por razón de programas de mobilidade académica ou de convenios establecidos entre elas, se atopen cursando estudos na Universidade de Vigo ou nos centros adscritos a esta.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Para realizar as prácticas externas o alumnado deberá cumprir, cando proceda, os seguintes requisitos:</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Estar matriculado na ensinanza universitaria á que se vinculan as competencias básicas, xenéricas e/ou específicas que adquirirá ao realizar a práctica.</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 caso de prácticas externas curriculares, estar matriculado na materia vinculada, segundo o plan de estudos de que se trate.</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Non manter ningunha relación contractual coa empresa, institución ou entidade pública ou privada, ou a propia universidade en que se van realizar as prácticas, salvo unha autorización conforme a normativa interna de cada universidade.</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A Universidade de Vigo ou a entidade xestora realizará unha convocatoria pública nos centros universitarios afectados, en que se indicará o número de alumnado de prácticas e as condicións da práctica académica externa, garantindo os principios de transparencia, publicidade e igualdade de oportunidades.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QUINTA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programa de prácticas académicas desenvolverase conforme os seguintes termos:</w:t>
      </w:r>
    </w:p>
    <w:p w:rsid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A duración das prácticas externas curriculares será a que estableza o plan de estudos correspondente nos termos establecidos polo artigo 12.6 do Real decr</w:t>
      </w:r>
      <w:r w:rsidR="008D2F2B">
        <w:rPr>
          <w:rFonts w:ascii="ITC New Baskerville Std" w:eastAsia="Cambria" w:hAnsi="ITC New Baskerville Std" w:cs="Cambria Math"/>
          <w:sz w:val="24"/>
          <w:szCs w:val="24"/>
          <w:lang w:val="gl-ES"/>
        </w:rPr>
        <w:t>eto 1393/2007, do 29 de outubro</w:t>
      </w:r>
      <w:r w:rsidR="003F1892">
        <w:rPr>
          <w:rFonts w:ascii="ITC New Baskerville Std" w:eastAsia="Cambria" w:hAnsi="ITC New Baskerville Std" w:cs="Cambria Math"/>
          <w:sz w:val="24"/>
          <w:szCs w:val="24"/>
          <w:lang w:val="gl-ES"/>
        </w:rPr>
        <w:t>.</w:t>
      </w:r>
    </w:p>
    <w:p w:rsidR="00453EDA" w:rsidRPr="0037152F"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A duración das prácticas externas extracurriculares axustarase á normativa complementaria desenvolvida pola Universidade de Vigo</w:t>
      </w:r>
      <w:r w:rsidR="00682449" w:rsidRPr="0037152F">
        <w:rPr>
          <w:rFonts w:ascii="ITC New Baskerville Std" w:eastAsia="Cambria" w:hAnsi="ITC New Baskerville Std" w:cs="Cambria Math"/>
          <w:sz w:val="24"/>
          <w:szCs w:val="24"/>
          <w:lang w:val="gl-ES"/>
        </w:rPr>
        <w:t>.</w:t>
      </w:r>
    </w:p>
    <w:p w:rsidR="00453EDA" w:rsidRPr="00453EDA" w:rsidRDefault="00B1510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3</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O alumnado contará cunha persoa titora da entidade colaboradora e con outra da Universidade de Vigo para realizar as prácticas</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4</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horario das prácticas procurará en todos os casos adaptarse aos horarios lectivos. En particular, o alumnado ten dereito a realizar as probas de avaliación correspondentes aos estudos en que se matriculara e a empresa está obrigada a concederlle os permisos necesarios para asistir a elas. </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5</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proxecto formativo en que se concreta a realización de cada práctica académica externa fixará os obxectivos educativos e as actividades que se desenvolverán. </w:t>
      </w:r>
    </w:p>
    <w:p w:rsid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6</w:t>
      </w:r>
      <w:r w:rsidR="00453EDA" w:rsidRPr="00453EDA">
        <w:rPr>
          <w:rFonts w:ascii="ITC New Baskerville Std" w:eastAsia="Cambria" w:hAnsi="ITC New Baskerville Std" w:cs="Cambria Math"/>
          <w:sz w:val="24"/>
          <w:szCs w:val="24"/>
          <w:lang w:val="gl-ES"/>
        </w:rPr>
        <w:tab/>
      </w:r>
      <w:r w:rsidR="002F5A5C">
        <w:rPr>
          <w:rFonts w:ascii="ITC New Baskerville Std" w:eastAsia="Cambria" w:hAnsi="ITC New Baskerville Std" w:cs="Cambria Math"/>
          <w:sz w:val="24"/>
          <w:szCs w:val="24"/>
          <w:lang w:val="gl-ES"/>
        </w:rPr>
        <w:t>Dereitos e deberes da persoa titora da entidade colaboradora</w:t>
      </w:r>
    </w:p>
    <w:p w:rsidR="009B55AD" w:rsidRDefault="009B55AD"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b/>
        <w:t>A persoa titora da entidade colaboradora terá os seguintes dereitos:</w:t>
      </w:r>
    </w:p>
    <w:tbl>
      <w:tblPr>
        <w:tblW w:w="9401" w:type="dxa"/>
        <w:tblCellSpacing w:w="15" w:type="dxa"/>
        <w:tblInd w:w="329" w:type="dxa"/>
        <w:tblCellMar>
          <w:top w:w="15" w:type="dxa"/>
          <w:left w:w="15" w:type="dxa"/>
          <w:bottom w:w="15" w:type="dxa"/>
          <w:right w:w="15" w:type="dxa"/>
        </w:tblCellMar>
        <w:tblLook w:val="04A0" w:firstRow="1" w:lastRow="0" w:firstColumn="1" w:lastColumn="0" w:noHBand="0" w:noVBand="1"/>
      </w:tblPr>
      <w:tblGrid>
        <w:gridCol w:w="81"/>
        <w:gridCol w:w="9320"/>
      </w:tblGrid>
      <w:tr w:rsidR="002F5A5C" w:rsidRPr="002F5A5C" w:rsidTr="00B74374">
        <w:trPr>
          <w:trHeight w:val="53"/>
          <w:tblCellSpacing w:w="15" w:type="dxa"/>
        </w:trPr>
        <w:tc>
          <w:tcPr>
            <w:tcW w:w="0" w:type="auto"/>
            <w:vAlign w:val="center"/>
            <w:hideMark/>
          </w:tcPr>
          <w:p w:rsidR="002F5A5C" w:rsidRPr="002F5A5C" w:rsidRDefault="002F5A5C"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hideMark/>
          </w:tcPr>
          <w:p w:rsidR="008D2F2B"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w:t>
            </w:r>
            <w:r w:rsidR="008D2F2B">
              <w:rPr>
                <w:rFonts w:ascii="ITC New Baskerville Std" w:eastAsia="Cambria" w:hAnsi="ITC New Baskerville Std" w:cs="Cambria Math"/>
                <w:sz w:val="24"/>
                <w:szCs w:val="24"/>
                <w:lang w:val="gl-ES"/>
              </w:rPr>
              <w:t xml:space="preserve"> da súa actividade colaboradora</w:t>
            </w:r>
            <w:r w:rsidRPr="00471E59">
              <w:rPr>
                <w:rFonts w:ascii="ITC New Baskerville Std" w:eastAsia="Cambria" w:hAnsi="ITC New Baskerville Std" w:cs="Cambria Math"/>
                <w:sz w:val="24"/>
                <w:szCs w:val="24"/>
                <w:lang w:val="gl-ES"/>
              </w:rPr>
              <w:t xml:space="preserve"> por parte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00A1406C">
              <w:rPr>
                <w:rFonts w:ascii="ITC New Baskerville Std" w:eastAsia="Cambria" w:hAnsi="ITC New Baskerville Std" w:cs="Cambria Math"/>
                <w:sz w:val="24"/>
                <w:szCs w:val="24"/>
                <w:lang w:val="gl-ES"/>
              </w:rPr>
              <w:t xml:space="preserve">, en función dos termos establecidos por esta. </w:t>
            </w:r>
          </w:p>
          <w:p w:rsidR="00471E59" w:rsidRPr="00471E59" w:rsidRDefault="00FC326C"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do Proxecto Formativo e das condicións do seu desenvolvemento.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Ter acceso á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 xml:space="preserve">niversidade </w:t>
            </w:r>
            <w:r w:rsidR="00FC326C">
              <w:rPr>
                <w:rFonts w:ascii="ITC New Baskerville Std" w:eastAsia="Cambria" w:hAnsi="ITC New Baskerville Std" w:cs="Cambria Math"/>
                <w:sz w:val="24"/>
                <w:szCs w:val="24"/>
                <w:lang w:val="gl-ES"/>
              </w:rPr>
              <w:t xml:space="preserve">de Vigo </w:t>
            </w:r>
            <w:r w:rsidRPr="00471E59">
              <w:rPr>
                <w:rFonts w:ascii="ITC New Baskerville Std" w:eastAsia="Cambria" w:hAnsi="ITC New Baskerville Std" w:cs="Cambria Math"/>
                <w:sz w:val="24"/>
                <w:szCs w:val="24"/>
                <w:lang w:val="gl-ES"/>
              </w:rPr>
              <w:t>para obter a información e o apoio necesarios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Acoller ao estudante e organizar a actividade a desenvolver con arranxo ao establecido no Proxecto Formativo.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Supervisar as súas actividades, orientar e controlar o desenvolvemento da práctica cunha relación baseada no respecto mutuo e o compromiso coa aprendizaxe.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Informar ao estudante da organización e funcionamento da entidade e da normativa de interese, especialmente a relativa á seguridade e riscos laborais.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d) Coordinar co titor académico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desenvolvemento das actividades establecidas, incluíndo aquelas modificacións do plan formativo que poidan ser necesarias para o normal desenvolvemento da práctica, así como a comunicación e resolución de posibles incidencias que puidesen xurdir no desenvolvemento da mesma e o control de permisos para a realización de exames.</w:t>
            </w:r>
          </w:p>
          <w:p w:rsid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 Emitir un informe final qu</w:t>
            </w:r>
            <w:r w:rsidRPr="00891BC3">
              <w:rPr>
                <w:rFonts w:ascii="ITC New Baskerville Std" w:eastAsia="Cambria" w:hAnsi="ITC New Baskerville Std" w:cs="Cambria Math"/>
                <w:sz w:val="24"/>
                <w:szCs w:val="24"/>
                <w:lang w:val="gl-ES"/>
              </w:rPr>
              <w:t xml:space="preserve">e </w:t>
            </w:r>
            <w:r w:rsidR="00FC326C">
              <w:rPr>
                <w:rFonts w:ascii="ITC New Baskerville Std" w:eastAsia="Cambria" w:hAnsi="ITC New Baskerville Std" w:cs="Cambria Math"/>
                <w:sz w:val="24"/>
                <w:szCs w:val="24"/>
                <w:lang w:val="gl-ES"/>
              </w:rPr>
              <w:t>remitirá ao titor académico da U</w:t>
            </w:r>
            <w:r w:rsidRPr="00891BC3">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á conclusión das prácticas, que recollerá o número de horas realizadas polo estudante e no cal poderá valorar os seguintes aspectos referidos, no s</w:t>
            </w:r>
            <w:r>
              <w:rPr>
                <w:rFonts w:ascii="ITC New Baskerville Std" w:eastAsia="Cambria" w:hAnsi="ITC New Baskerville Std" w:cs="Cambria Math"/>
                <w:sz w:val="24"/>
                <w:szCs w:val="24"/>
                <w:lang w:val="gl-ES"/>
              </w:rPr>
              <w:t>eu caso, tanto ás competencias x</w:t>
            </w:r>
            <w:r w:rsidRPr="00891BC3">
              <w:rPr>
                <w:rFonts w:ascii="ITC New Baskerville Std" w:eastAsia="Cambria" w:hAnsi="ITC New Baskerville Std" w:cs="Cambria Math"/>
                <w:sz w:val="24"/>
                <w:szCs w:val="24"/>
                <w:lang w:val="gl-ES"/>
              </w:rPr>
              <w:t>enéricas como ás específicas, previs</w:t>
            </w:r>
            <w:r>
              <w:rPr>
                <w:rFonts w:ascii="ITC New Baskerville Std" w:eastAsia="Cambria" w:hAnsi="ITC New Baskerville Std" w:cs="Cambria Math"/>
                <w:sz w:val="24"/>
                <w:szCs w:val="24"/>
                <w:lang w:val="gl-ES"/>
              </w:rPr>
              <w:t xml:space="preserve">tas no correspondente proxecto </w:t>
            </w:r>
            <w:r w:rsidRPr="00891BC3">
              <w:rPr>
                <w:rFonts w:ascii="ITC New Baskerville Std" w:eastAsia="Cambria" w:hAnsi="ITC New Baskerville Std" w:cs="Cambria Math"/>
                <w:sz w:val="24"/>
                <w:szCs w:val="24"/>
                <w:lang w:val="gl-ES"/>
              </w:rPr>
              <w:t>formativo:</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w:t>
            </w:r>
            <w:r w:rsidRPr="00891BC3">
              <w:rPr>
                <w:rFonts w:ascii="ITC New Baskerville Std" w:eastAsia="Cambria" w:hAnsi="ITC New Baskerville Std" w:cs="Cambria Math"/>
                <w:sz w:val="24"/>
                <w:szCs w:val="24"/>
                <w:lang w:val="gl-ES"/>
              </w:rPr>
              <w:t>) Capacidade técnica.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e.2</w:t>
            </w:r>
            <w:r w:rsidRPr="00891BC3">
              <w:rPr>
                <w:rFonts w:ascii="ITC New Baskerville Std" w:eastAsia="Cambria" w:hAnsi="ITC New Baskerville Std" w:cs="Cambria Math"/>
                <w:sz w:val="24"/>
                <w:szCs w:val="24"/>
                <w:lang w:val="gl-ES"/>
              </w:rPr>
              <w:t>) Capacidade de aprendizaxe.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e.3</w:t>
            </w:r>
            <w:r w:rsidRPr="00891BC3">
              <w:rPr>
                <w:rFonts w:ascii="ITC New Baskerville Std" w:eastAsia="Cambria" w:hAnsi="ITC New Baskerville Std" w:cs="Cambria Math"/>
                <w:sz w:val="24"/>
                <w:szCs w:val="24"/>
                <w:lang w:val="gl-ES"/>
              </w:rPr>
              <w:t>) Administración de traballos.</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e.4</w:t>
            </w:r>
            <w:r w:rsidRPr="00891BC3">
              <w:rPr>
                <w:rFonts w:ascii="ITC New Baskerville Std" w:eastAsia="Cambria" w:hAnsi="ITC New Baskerville Std" w:cs="Cambria Math"/>
                <w:sz w:val="24"/>
                <w:szCs w:val="24"/>
                <w:lang w:val="gl-ES"/>
              </w:rPr>
              <w:t>) Habilidades de comunicación oral e escr</w:t>
            </w:r>
            <w:r>
              <w:rPr>
                <w:rFonts w:ascii="ITC New Baskerville Std" w:eastAsia="Cambria" w:hAnsi="ITC New Baskerville Std" w:cs="Cambria Math"/>
                <w:sz w:val="24"/>
                <w:szCs w:val="24"/>
                <w:lang w:val="gl-ES"/>
              </w:rPr>
              <w:t xml:space="preserve">ita. No caso de estudantes con </w:t>
            </w:r>
            <w:r w:rsidRPr="00891BC3">
              <w:rPr>
                <w:rFonts w:ascii="ITC New Baskerville Std" w:eastAsia="Cambria" w:hAnsi="ITC New Baskerville Std" w:cs="Cambria Math"/>
                <w:sz w:val="24"/>
                <w:szCs w:val="24"/>
                <w:lang w:val="gl-ES"/>
              </w:rPr>
              <w:t>discapacidad</w:t>
            </w:r>
            <w:r>
              <w:rPr>
                <w:rFonts w:ascii="ITC New Baskerville Std" w:eastAsia="Cambria" w:hAnsi="ITC New Baskerville Std" w:cs="Cambria Math"/>
                <w:sz w:val="24"/>
                <w:szCs w:val="24"/>
                <w:lang w:val="gl-ES"/>
              </w:rPr>
              <w:t xml:space="preserve">e </w:t>
            </w:r>
            <w:r w:rsidRPr="00891BC3">
              <w:rPr>
                <w:rFonts w:ascii="ITC New Baskerville Std" w:eastAsia="Cambria" w:hAnsi="ITC New Baskerville Std" w:cs="Cambria Math"/>
                <w:sz w:val="24"/>
                <w:szCs w:val="24"/>
                <w:lang w:val="gl-ES"/>
              </w:rPr>
              <w:t>que teñan dificultades na expresión oral, deberá indicarse o grado de autonomía para esta habilidade e si require dalgún tipo de recurso técnico e/ou humano para a mesma.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w:t>
            </w:r>
            <w:r>
              <w:rPr>
                <w:rFonts w:ascii="ITC New Baskerville Std" w:eastAsia="Cambria" w:hAnsi="ITC New Baskerville Std" w:cs="Cambria Math"/>
                <w:sz w:val="24"/>
                <w:szCs w:val="24"/>
                <w:lang w:val="gl-ES"/>
              </w:rPr>
              <w:t>.5</w:t>
            </w:r>
            <w:r w:rsidRPr="00891BC3">
              <w:rPr>
                <w:rFonts w:ascii="ITC New Baskerville Std" w:eastAsia="Cambria" w:hAnsi="ITC New Baskerville Std" w:cs="Cambria Math"/>
                <w:sz w:val="24"/>
                <w:szCs w:val="24"/>
                <w:lang w:val="gl-ES"/>
              </w:rPr>
              <w:t>) Sentido da responsabilidade.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e.6</w:t>
            </w:r>
            <w:r w:rsidRPr="00891BC3">
              <w:rPr>
                <w:rFonts w:ascii="ITC New Baskerville Std" w:eastAsia="Cambria" w:hAnsi="ITC New Baskerville Std" w:cs="Cambria Math"/>
                <w:sz w:val="24"/>
                <w:szCs w:val="24"/>
                <w:lang w:val="gl-ES"/>
              </w:rPr>
              <w:t>) Facilidade de adaptación.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e.7</w:t>
            </w:r>
            <w:r w:rsidRPr="00891BC3">
              <w:rPr>
                <w:rFonts w:ascii="ITC New Baskerville Std" w:eastAsia="Cambria" w:hAnsi="ITC New Baskerville Std" w:cs="Cambria Math"/>
                <w:sz w:val="24"/>
                <w:szCs w:val="24"/>
                <w:lang w:val="gl-ES"/>
              </w:rPr>
              <w:t>) Creatividade e iniciativa.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e.8</w:t>
            </w:r>
            <w:r w:rsidRPr="00891BC3">
              <w:rPr>
                <w:rFonts w:ascii="ITC New Baskerville Std" w:eastAsia="Cambria" w:hAnsi="ITC New Baskerville Std" w:cs="Cambria Math"/>
                <w:sz w:val="24"/>
                <w:szCs w:val="24"/>
                <w:lang w:val="gl-ES"/>
              </w:rPr>
              <w:t>) Implicación persoal.</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e.9) </w:t>
            </w:r>
            <w:r w:rsidRPr="00891BC3">
              <w:rPr>
                <w:rFonts w:ascii="ITC New Baskerville Std" w:eastAsia="Cambria" w:hAnsi="ITC New Baskerville Std" w:cs="Cambria Math"/>
                <w:sz w:val="24"/>
                <w:szCs w:val="24"/>
                <w:lang w:val="gl-ES"/>
              </w:rPr>
              <w:t>Motivación.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e.10</w:t>
            </w:r>
            <w:r w:rsidRPr="00891BC3">
              <w:rPr>
                <w:rFonts w:ascii="ITC New Baskerville Std" w:eastAsia="Cambria" w:hAnsi="ITC New Baskerville Std" w:cs="Cambria Math"/>
                <w:sz w:val="24"/>
                <w:szCs w:val="24"/>
                <w:lang w:val="gl-ES"/>
              </w:rPr>
              <w:t>) Receptividad</w:t>
            </w:r>
            <w:r w:rsidR="00B74374">
              <w:rPr>
                <w:rFonts w:ascii="ITC New Baskerville Std" w:eastAsia="Cambria" w:hAnsi="ITC New Baskerville Std" w:cs="Cambria Math"/>
                <w:sz w:val="24"/>
                <w:szCs w:val="24"/>
                <w:lang w:val="gl-ES"/>
              </w:rPr>
              <w:t>e</w:t>
            </w:r>
            <w:r w:rsidRPr="00891BC3">
              <w:rPr>
                <w:rFonts w:ascii="ITC New Baskerville Std" w:eastAsia="Cambria" w:hAnsi="ITC New Baskerville Std" w:cs="Cambria Math"/>
                <w:sz w:val="24"/>
                <w:szCs w:val="24"/>
                <w:lang w:val="gl-ES"/>
              </w:rPr>
              <w:t xml:space="preserve"> ás críticas.</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e.11) </w:t>
            </w:r>
            <w:r w:rsidR="00891BC3" w:rsidRPr="00891BC3">
              <w:rPr>
                <w:rFonts w:ascii="ITC New Baskerville Std" w:eastAsia="Cambria" w:hAnsi="ITC New Baskerville Std" w:cs="Cambria Math"/>
                <w:sz w:val="24"/>
                <w:szCs w:val="24"/>
                <w:lang w:val="gl-ES"/>
              </w:rPr>
              <w:t>Puntualidad</w:t>
            </w:r>
            <w:r>
              <w:rPr>
                <w:rFonts w:ascii="ITC New Baskerville Std" w:eastAsia="Cambria" w:hAnsi="ITC New Baskerville Std" w:cs="Cambria Math"/>
                <w:sz w:val="24"/>
                <w:szCs w:val="24"/>
                <w:lang w:val="gl-ES"/>
              </w:rPr>
              <w:t>e</w:t>
            </w:r>
            <w:r w:rsidR="00891BC3" w:rsidRPr="00891BC3">
              <w:rPr>
                <w:rFonts w:ascii="ITC New Baskerville Std" w:eastAsia="Cambria" w:hAnsi="ITC New Baskerville Std" w:cs="Cambria Math"/>
                <w:sz w:val="24"/>
                <w:szCs w:val="24"/>
                <w:lang w:val="gl-ES"/>
              </w:rPr>
              <w:t>.</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e.12</w:t>
            </w:r>
            <w:r w:rsidR="00891BC3" w:rsidRPr="00891BC3">
              <w:rPr>
                <w:rFonts w:ascii="ITC New Baskerville Std" w:eastAsia="Cambria" w:hAnsi="ITC New Baskerville Std" w:cs="Cambria Math"/>
                <w:sz w:val="24"/>
                <w:szCs w:val="24"/>
                <w:lang w:val="gl-ES"/>
              </w:rPr>
              <w:t>) Relacións coa súa contorna laboral.</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e.13)</w:t>
            </w:r>
            <w:r w:rsidR="00891BC3" w:rsidRPr="00891BC3">
              <w:rPr>
                <w:rFonts w:ascii="ITC New Baskerville Std" w:eastAsia="Cambria" w:hAnsi="ITC New Baskerville Std" w:cs="Cambria Math"/>
                <w:sz w:val="24"/>
                <w:szCs w:val="24"/>
                <w:lang w:val="gl-ES"/>
              </w:rPr>
              <w:t xml:space="preserve"> Capacidade de traballo en equipo.</w:t>
            </w:r>
          </w:p>
          <w:p w:rsidR="00471E59" w:rsidRPr="00471E59"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e.14</w:t>
            </w:r>
            <w:r w:rsidR="00891BC3" w:rsidRPr="00891BC3">
              <w:rPr>
                <w:rFonts w:ascii="ITC New Baskerville Std" w:eastAsia="Cambria" w:hAnsi="ITC New Baskerville Std" w:cs="Cambria Math"/>
                <w:sz w:val="24"/>
                <w:szCs w:val="24"/>
                <w:lang w:val="gl-ES"/>
              </w:rPr>
              <w:t>) Aqueloutros aspectos que se consideren oportunos.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f) Proporcionar a formación complementaria que precise o estudante para a realización das prácticas.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Proporcionar ao estudante os medios materiais indispensables para o desenvolvemento da práctica.</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h) Facilitar e estimular a achega de propostas d</w:t>
            </w:r>
            <w:r w:rsidR="008D2F2B">
              <w:rPr>
                <w:rFonts w:ascii="ITC New Baskerville Std" w:eastAsia="Cambria" w:hAnsi="ITC New Baskerville Std" w:cs="Cambria Math"/>
                <w:sz w:val="24"/>
                <w:szCs w:val="24"/>
                <w:lang w:val="gl-ES"/>
              </w:rPr>
              <w:t>e innovación, mellora e emprende</w:t>
            </w:r>
            <w:r w:rsidRPr="00471E59">
              <w:rPr>
                <w:rFonts w:ascii="ITC New Baskerville Std" w:eastAsia="Cambria" w:hAnsi="ITC New Baskerville Std" w:cs="Cambria Math"/>
                <w:sz w:val="24"/>
                <w:szCs w:val="24"/>
                <w:lang w:val="gl-ES"/>
              </w:rPr>
              <w:t>mento por parte do estudante.</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i) F</w:t>
            </w:r>
            <w:r w:rsidR="00FC326C">
              <w:rPr>
                <w:rFonts w:ascii="ITC New Baskerville Std" w:eastAsia="Cambria" w:hAnsi="ITC New Baskerville Std" w:cs="Cambria Math"/>
                <w:sz w:val="24"/>
                <w:szCs w:val="24"/>
                <w:lang w:val="gl-ES"/>
              </w:rPr>
              <w:t>acilitar ao titor académico da 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acceso á entidade para o cumprimento dos fins propios da súa función.</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j) Gardar confidencialidad</w:t>
            </w:r>
            <w:r>
              <w:rPr>
                <w:rFonts w:ascii="ITC New Baskerville Std" w:eastAsia="Cambria" w:hAnsi="ITC New Baskerville Std" w:cs="Cambria Math"/>
                <w:sz w:val="24"/>
                <w:szCs w:val="24"/>
                <w:lang w:val="gl-ES"/>
              </w:rPr>
              <w:t>e</w:t>
            </w:r>
            <w:r w:rsidRPr="00471E59">
              <w:rPr>
                <w:rFonts w:ascii="ITC New Baskerville Std" w:eastAsia="Cambria" w:hAnsi="ITC New Baskerville Std" w:cs="Cambria Math"/>
                <w:sz w:val="24"/>
                <w:szCs w:val="24"/>
                <w:lang w:val="gl-ES"/>
              </w:rPr>
              <w:t xml:space="preserve"> en relación con calquera información que coñeza do estudante como consecuencia da súa actividade como titor.</w:t>
            </w:r>
          </w:p>
          <w:p w:rsid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k) Prestar axuda e asistencia ao estudante, durante a súa estancia na entidade, para a resolución daquelas cuestións de carácter profesional que poida necesitar no desempeño das actividades que realiza na mesma.</w:t>
            </w:r>
          </w:p>
          <w:p w:rsidR="00C40510" w:rsidRPr="00471E59" w:rsidRDefault="00C40510" w:rsidP="00B74374">
            <w:pPr>
              <w:tabs>
                <w:tab w:val="left" w:pos="0"/>
              </w:tabs>
              <w:spacing w:line="22" w:lineRule="atLeast"/>
              <w:jc w:val="both"/>
              <w:rPr>
                <w:rFonts w:ascii="ITC New Baskerville Std" w:eastAsia="Cambria" w:hAnsi="ITC New Baskerville Std" w:cs="Cambria Math"/>
                <w:sz w:val="24"/>
                <w:szCs w:val="24"/>
                <w:lang w:val="gl-ES"/>
              </w:rPr>
            </w:pPr>
          </w:p>
          <w:p w:rsidR="00B5228B" w:rsidRDefault="00B5228B"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7</w:t>
            </w:r>
            <w:r w:rsidR="00B74374">
              <w:rPr>
                <w:rFonts w:ascii="ITC New Baskerville Std" w:eastAsia="Cambria" w:hAnsi="ITC New Baskerville Std" w:cs="Cambria Math"/>
                <w:sz w:val="24"/>
                <w:szCs w:val="24"/>
                <w:lang w:val="gl-ES"/>
              </w:rPr>
              <w:t xml:space="preserve"> </w:t>
            </w:r>
            <w:r>
              <w:rPr>
                <w:rFonts w:ascii="ITC New Baskerville Std" w:eastAsia="Cambria" w:hAnsi="ITC New Baskerville Std" w:cs="Cambria Math"/>
                <w:sz w:val="24"/>
                <w:szCs w:val="24"/>
                <w:lang w:val="gl-ES"/>
              </w:rPr>
              <w:t xml:space="preserve">Dereitos e deberes do titor académico da </w:t>
            </w:r>
            <w:r w:rsidR="009B55AD">
              <w:rPr>
                <w:rFonts w:ascii="ITC New Baskerville Std" w:eastAsia="Cambria" w:hAnsi="ITC New Baskerville Std" w:cs="Cambria Math"/>
                <w:sz w:val="24"/>
                <w:szCs w:val="24"/>
                <w:lang w:val="gl-ES"/>
              </w:rPr>
              <w:t>U</w:t>
            </w:r>
            <w:r>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O titor</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académico</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da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terá os seguintes dereitos: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 efectivo da sú</w:t>
            </w:r>
            <w:r w:rsidR="00B74374">
              <w:rPr>
                <w:rFonts w:ascii="ITC New Baskerville Std" w:eastAsia="Cambria" w:hAnsi="ITC New Baskerville Std" w:cs="Cambria Math"/>
                <w:sz w:val="24"/>
                <w:szCs w:val="24"/>
                <w:lang w:val="gl-ES"/>
              </w:rPr>
              <w:t>a actividade académica nos termos</w:t>
            </w:r>
            <w:r w:rsidR="008D2F2B">
              <w:rPr>
                <w:rFonts w:ascii="ITC New Baskerville Std" w:eastAsia="Cambria" w:hAnsi="ITC New Baskerville Std" w:cs="Cambria Math"/>
                <w:sz w:val="24"/>
                <w:szCs w:val="24"/>
                <w:lang w:val="gl-ES"/>
              </w:rPr>
              <w:t xml:space="preserve"> que estableza a 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de acordo coa súa normativa interna.</w:t>
            </w:r>
          </w:p>
          <w:p w:rsidR="00471E59" w:rsidRPr="00471E59" w:rsidRDefault="00C40510"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das condicións baixo as que se desenvolverá a estancia do estudante a tutelar.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Ter acceso á entidade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Velar polo normal desenvolvemento do Proxecto Formativo, garantindo a compatibilidade do horario de realización das prácticas coas obrigacións académicas, formativas e de representación e participación do estudante.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Facer un seguimento efectivo das prácticas coordinándose para iso co titor da entidade colaboradora e vistos, no seu caso, os informes de seguimento.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Autorizar as modificacións que se produzan no Proxecto Formativo.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d) Levar a cabo o proceso avaliador das prácticas do estudante tutelado de acordo co que se establece de conformidade cos</w:t>
            </w:r>
            <w:r w:rsidR="00B74374">
              <w:rPr>
                <w:rFonts w:ascii="ITC New Baskerville Std" w:eastAsia="Cambria" w:hAnsi="ITC New Baskerville Std" w:cs="Cambria Math"/>
                <w:sz w:val="24"/>
                <w:szCs w:val="24"/>
                <w:lang w:val="gl-ES"/>
              </w:rPr>
              <w:t xml:space="preserve"> procedementos que estable</w:t>
            </w:r>
            <w:r w:rsidR="009B55AD">
              <w:rPr>
                <w:rFonts w:ascii="ITC New Baskerville Std" w:eastAsia="Cambria" w:hAnsi="ITC New Baskerville Std" w:cs="Cambria Math"/>
                <w:sz w:val="24"/>
                <w:szCs w:val="24"/>
                <w:lang w:val="gl-ES"/>
              </w:rPr>
              <w:t>ce</w:t>
            </w:r>
            <w:r w:rsidRPr="00471E59">
              <w:rPr>
                <w:rFonts w:ascii="ITC New Baskerville Std" w:eastAsia="Cambria" w:hAnsi="ITC New Baskerville Std" w:cs="Cambria Math"/>
                <w:sz w:val="24"/>
                <w:szCs w:val="24"/>
                <w:lang w:val="gl-ES"/>
              </w:rPr>
              <w:t xml:space="preserve"> 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cumprimentando o correspondente informe de avaliación.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e) Gardar confidencialidade en relación con calquera información que coñeza como consecuencia da súa actividade como titor.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f) Informar ao órgano responsable das prácticas externas na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 d</w:t>
            </w:r>
            <w:r w:rsidR="009B55AD">
              <w:rPr>
                <w:rFonts w:ascii="ITC New Baskerville Std" w:eastAsia="Cambria" w:hAnsi="ITC New Baskerville Std" w:cs="Cambria Math"/>
                <w:sz w:val="24"/>
                <w:szCs w:val="24"/>
                <w:lang w:val="gl-ES"/>
              </w:rPr>
              <w:t>e Vigo d</w:t>
            </w:r>
            <w:r w:rsidRPr="00471E59">
              <w:rPr>
                <w:rFonts w:ascii="ITC New Baskerville Std" w:eastAsia="Cambria" w:hAnsi="ITC New Baskerville Std" w:cs="Cambria Math"/>
                <w:sz w:val="24"/>
                <w:szCs w:val="24"/>
                <w:lang w:val="gl-ES"/>
              </w:rPr>
              <w:t>as posibles incidencias xurdidas.</w:t>
            </w:r>
          </w:p>
          <w:p w:rsidR="002F5A5C" w:rsidRPr="002F5A5C"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Supervisar, e no seu caso solicitar, a adecuada disposición dos recursos de apoio necesarios para asegurar que os estudantes con discapacidade realicen as súas prácticas en condicións de igualdade de oportunidades, non discriminación e accesibilidade universal.</w:t>
            </w:r>
          </w:p>
        </w:tc>
      </w:tr>
      <w:tr w:rsidR="00B5228B" w:rsidRPr="002F5A5C" w:rsidTr="00B74374">
        <w:trPr>
          <w:trHeight w:val="53"/>
          <w:tblCellSpacing w:w="15" w:type="dxa"/>
        </w:trPr>
        <w:tc>
          <w:tcPr>
            <w:tcW w:w="0" w:type="auto"/>
            <w:vAlign w:val="center"/>
          </w:tcPr>
          <w:p w:rsidR="00B5228B" w:rsidRPr="002F5A5C"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tcPr>
          <w:p w:rsidR="00B5228B"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8</w:t>
            </w:r>
            <w:r w:rsidRPr="00453EDA">
              <w:rPr>
                <w:rFonts w:ascii="ITC New Baskerville Std" w:eastAsia="Cambria" w:hAnsi="ITC New Baskerville Std" w:cs="Cambria Math"/>
                <w:sz w:val="24"/>
                <w:szCs w:val="24"/>
                <w:lang w:val="gl-ES"/>
              </w:rPr>
              <w:tab/>
            </w:r>
            <w:r>
              <w:rPr>
                <w:rFonts w:ascii="ITC New Baskerville Std" w:eastAsia="Cambria" w:hAnsi="ITC New Baskerville Std" w:cs="Cambria Math"/>
                <w:sz w:val="24"/>
                <w:szCs w:val="24"/>
                <w:lang w:val="gl-ES"/>
              </w:rPr>
              <w:t>Dereitos e deberes dos estudantes en prácticas.</w:t>
            </w:r>
          </w:p>
          <w:p w:rsidR="00891BC3" w:rsidRPr="00891BC3" w:rsidRDefault="00891BC3" w:rsidP="00891BC3">
            <w:pPr>
              <w:tabs>
                <w:tab w:val="left" w:pos="429"/>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Durante a realización das prácticas académicas externas, o</w:t>
            </w:r>
            <w:r>
              <w:rPr>
                <w:rFonts w:ascii="ITC New Baskerville Std" w:eastAsia="Cambria" w:hAnsi="ITC New Baskerville Std" w:cs="Cambria Math"/>
                <w:sz w:val="24"/>
                <w:szCs w:val="24"/>
                <w:lang w:val="gl-ES"/>
              </w:rPr>
              <w:t xml:space="preserve">s estudantes terán os seguintes  </w:t>
            </w:r>
            <w:r w:rsidRPr="00891BC3">
              <w:rPr>
                <w:rFonts w:ascii="ITC New Baskerville Std" w:eastAsia="Cambria" w:hAnsi="ITC New Baskerville Std" w:cs="Cambria Math"/>
                <w:sz w:val="24"/>
                <w:szCs w:val="24"/>
                <w:lang w:val="gl-ES"/>
              </w:rPr>
              <w:t>dereitos: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Á</w:t>
            </w:r>
            <w:r w:rsidRPr="00891BC3">
              <w:rPr>
                <w:rFonts w:ascii="ITC New Baskerville Std" w:eastAsia="Cambria" w:hAnsi="ITC New Baskerville Std" w:cs="Cambria Math"/>
                <w:sz w:val="24"/>
                <w:szCs w:val="24"/>
                <w:lang w:val="gl-ES"/>
              </w:rPr>
              <w:t xml:space="preserve"> tutela, durante o período de duración da correspondente práctica, por un profesor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e por un profesional que preste servizos na empresa, institución ou entidade onde se realice 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Á avaliación de acordo cos criterios establecidos pola Universidade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c) Á obtención dun informe por parte da entidade colaboradora onde realizou as prácticas, con mención expresa da actividade desenvolvida, a súa duración e, no seu caso, o seu rendemento.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A percibir, nos casos en que así se estipule, a achega económica da entidade colaboradora, en concepto de bolsa ou axuda ao estudo.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Á propiedade intelectual e industrial nos t</w:t>
            </w:r>
            <w:r w:rsidR="009B55AD">
              <w:rPr>
                <w:rFonts w:ascii="ITC New Baskerville Std" w:eastAsia="Cambria" w:hAnsi="ITC New Baskerville Std" w:cs="Cambria Math"/>
                <w:sz w:val="24"/>
                <w:szCs w:val="24"/>
                <w:lang w:val="gl-ES"/>
              </w:rPr>
              <w:t>ermos</w:t>
            </w:r>
            <w:r w:rsidRPr="00891BC3">
              <w:rPr>
                <w:rFonts w:ascii="ITC New Baskerville Std" w:eastAsia="Cambria" w:hAnsi="ITC New Baskerville Std" w:cs="Cambria Math"/>
                <w:sz w:val="24"/>
                <w:szCs w:val="24"/>
                <w:lang w:val="gl-ES"/>
              </w:rPr>
              <w:t xml:space="preserve"> establecidos na lexislación reguladora da materia.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A recibir, por parte da entidade colaboradora, información da normativa de seguridade e prevención de riscos laborais.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g) A cumprir coa súa actividade académica, formativa e de representación e participación, previa comunicación con antelación suficiente á entidade colaboradora.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A dispoñer dos recursos necesarios para o acceso dos estudantes con discapacidade á tutela, á información, á avaliación e ao propio desempeño das prácticas en igualdade de condicións.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i) A conciliar, no caso dos estudantes con discapacidade, a realización das prácticas con aquelas actividades e situacións persoais derivadas ou conectadas coa situación de discapacidade.</w:t>
            </w:r>
          </w:p>
          <w:p w:rsidR="00891BC3" w:rsidRPr="00D74C50" w:rsidRDefault="00891BC3" w:rsidP="00891BC3">
            <w:pPr>
              <w:tabs>
                <w:tab w:val="left" w:pos="0"/>
              </w:tabs>
              <w:spacing w:line="22" w:lineRule="atLeast"/>
              <w:ind w:hanging="284"/>
              <w:jc w:val="both"/>
              <w:rPr>
                <w:rFonts w:ascii="ITC New Baskerville Std" w:eastAsia="Cambria" w:hAnsi="ITC New Baskerville Std" w:cs="Cambria Math"/>
                <w:sz w:val="24"/>
                <w:szCs w:val="24"/>
                <w:lang w:val="gl-ES"/>
              </w:rPr>
            </w:pPr>
            <w:r w:rsidRPr="00D74C50">
              <w:rPr>
                <w:rFonts w:ascii="ITC New Baskerville Std" w:eastAsia="Cambria" w:hAnsi="ITC New Baskerville Std" w:cs="Cambria Math"/>
                <w:sz w:val="24"/>
                <w:szCs w:val="24"/>
                <w:lang w:val="gl-ES"/>
              </w:rPr>
              <w:tab/>
              <w:t xml:space="preserve">j) </w:t>
            </w:r>
            <w:r w:rsidR="00D74C50" w:rsidRPr="00D74C50">
              <w:rPr>
                <w:rFonts w:ascii="ITC New Baskerville Std" w:eastAsia="Cambria" w:hAnsi="ITC New Baskerville Std" w:cs="Cambria Math"/>
                <w:sz w:val="24"/>
                <w:szCs w:val="24"/>
                <w:lang w:val="gl-ES"/>
              </w:rPr>
              <w:t xml:space="preserve">Aqueloutros, no seu caso, previstos na normativa da Universidade de Vigo. </w:t>
            </w:r>
          </w:p>
          <w:p w:rsidR="00891BC3" w:rsidRPr="00891BC3" w:rsidRDefault="00891BC3" w:rsidP="00891BC3">
            <w:pPr>
              <w:tabs>
                <w:tab w:val="left" w:pos="0"/>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Así mesmo e, durante a realización das prácticas académicas</w:t>
            </w:r>
            <w:r>
              <w:rPr>
                <w:rFonts w:ascii="ITC New Baskerville Std" w:eastAsia="Cambria" w:hAnsi="ITC New Baskerville Std" w:cs="Cambria Math"/>
                <w:sz w:val="24"/>
                <w:szCs w:val="24"/>
                <w:lang w:val="gl-ES"/>
              </w:rPr>
              <w:t xml:space="preserve"> externas os estudantes deberán </w:t>
            </w:r>
            <w:r w:rsidRPr="00891BC3">
              <w:rPr>
                <w:rFonts w:ascii="ITC New Baskerville Std" w:eastAsia="Cambria" w:hAnsi="ITC New Baskerville Std" w:cs="Cambria Math"/>
                <w:sz w:val="24"/>
                <w:szCs w:val="24"/>
                <w:lang w:val="gl-ES"/>
              </w:rPr>
              <w:t>atender ao cumprimento dos seguintes deberes: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 Cumprir a normativa vixente relativa a prácticas externas establecida pola</w:t>
            </w:r>
            <w:r w:rsidR="009B55AD">
              <w:rPr>
                <w:rFonts w:ascii="ITC New Baskerville Std" w:eastAsia="Cambria" w:hAnsi="ITC New Baskerville Std" w:cs="Cambria Math"/>
                <w:sz w:val="24"/>
                <w:szCs w:val="24"/>
                <w:lang w:val="gl-ES"/>
              </w:rPr>
              <w:t xml:space="preserve"> 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Coñecer e cumprir o Proxecto Formativo das prácticas seguindo as indicacións do titor asignado pola entidade colaboradora baixo a sup</w:t>
            </w:r>
            <w:r w:rsidR="009B55AD">
              <w:rPr>
                <w:rFonts w:ascii="ITC New Baskerville Std" w:eastAsia="Cambria" w:hAnsi="ITC New Baskerville Std" w:cs="Cambria Math"/>
                <w:sz w:val="24"/>
                <w:szCs w:val="24"/>
                <w:lang w:val="gl-ES"/>
              </w:rPr>
              <w:t>ervisión do titor académico da Universidade de Vigo.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 xml:space="preserve">c) Manter contacto co titor académico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 xml:space="preserve">niversidade </w:t>
            </w:r>
            <w:r w:rsidR="009B55AD">
              <w:rPr>
                <w:rFonts w:ascii="ITC New Baskerville Std" w:eastAsia="Cambria" w:hAnsi="ITC New Baskerville Std" w:cs="Cambria Math"/>
                <w:sz w:val="24"/>
                <w:szCs w:val="24"/>
                <w:lang w:val="gl-ES"/>
              </w:rPr>
              <w:t xml:space="preserve">de Vigo </w:t>
            </w:r>
            <w:r w:rsidRPr="00891BC3">
              <w:rPr>
                <w:rFonts w:ascii="ITC New Baskerville Std" w:eastAsia="Cambria" w:hAnsi="ITC New Baskerville Std" w:cs="Cambria Math"/>
                <w:sz w:val="24"/>
                <w:szCs w:val="24"/>
                <w:lang w:val="gl-ES"/>
              </w:rPr>
              <w:t xml:space="preserve">durante o desenvolvemento da práctica e comunicarlle calquera incidencia que poida xurdir no mesmo, así como facer entrega dos </w:t>
            </w:r>
            <w:r w:rsidR="004B0957">
              <w:rPr>
                <w:rFonts w:ascii="ITC New Baskerville Std" w:eastAsia="Cambria" w:hAnsi="ITC New Baskerville Std" w:cs="Cambria Math"/>
                <w:sz w:val="24"/>
                <w:szCs w:val="24"/>
                <w:lang w:val="gl-ES"/>
              </w:rPr>
              <w:t>documentos e</w:t>
            </w:r>
            <w:r w:rsidRPr="00891BC3">
              <w:rPr>
                <w:rFonts w:ascii="ITC New Baskerville Std" w:eastAsia="Cambria" w:hAnsi="ITC New Baskerville Std" w:cs="Cambria Math"/>
                <w:sz w:val="24"/>
                <w:szCs w:val="24"/>
                <w:lang w:val="gl-ES"/>
              </w:rPr>
              <w:t xml:space="preserve"> a memoria final que lle sexan requiridos.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Incorporarse á entidade colaboradora de que se trate na data acordada, cumprir o horario previsto no proxecto educativo e respectar as normas de funcionamento, seguridade e prevención de riscos laborais da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Desenvolver o Proxecto Formativo e cumprir con dilixencia as actividades acordadas coa entidade colaboradora conforme ás liñas establecidas no mesmo.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Elaboración da memoria final das prácticas na que deberá figurar, entre o</w:t>
            </w:r>
            <w:r>
              <w:rPr>
                <w:rFonts w:ascii="ITC New Baskerville Std" w:eastAsia="Cambria" w:hAnsi="ITC New Baskerville Std" w:cs="Cambria Math"/>
                <w:sz w:val="24"/>
                <w:szCs w:val="24"/>
                <w:lang w:val="gl-ES"/>
              </w:rPr>
              <w:t>u</w:t>
            </w:r>
            <w:r w:rsidR="0037152F">
              <w:rPr>
                <w:rFonts w:ascii="ITC New Baskerville Std" w:eastAsia="Cambria" w:hAnsi="ITC New Baskerville Std" w:cs="Cambria Math"/>
                <w:sz w:val="24"/>
                <w:szCs w:val="24"/>
                <w:lang w:val="gl-ES"/>
              </w:rPr>
              <w:t xml:space="preserve">tros, os seguintes aspectos: </w:t>
            </w:r>
            <w:r w:rsidRPr="00891BC3">
              <w:rPr>
                <w:rFonts w:ascii="ITC New Baskerville Std" w:eastAsia="Cambria" w:hAnsi="ITC New Baskerville Std" w:cs="Cambria Math"/>
                <w:sz w:val="24"/>
                <w:szCs w:val="24"/>
                <w:lang w:val="gl-ES"/>
              </w:rPr>
              <w:t xml:space="preserve">datos persoais do estudante; entidade colaboradora onde realizou as prácticas e lugar de ubicación; descrición concreta e detallada das tarefas; traballos desenvolvidos e departamentos da entidade aos que estivo asignado; valoración das tarefas desenvolvidas cos coñecementos e competencias adquiridos en relación cos estudos universitarios; relación dos problemas suscitados e o procedemento seguido para a súa resolución; identificación das achegas que, en materia de aprendizaxe, supuxeron as prácticas; avaliación das prácticas e suxestións de mellora. </w:t>
            </w:r>
          </w:p>
          <w:p w:rsidR="00891BC3" w:rsidRPr="0037152F"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g) Gardar confidencialidade en relación coa información interna da entidade colaboradora e gardar segredo profesional sobre as súas actividades, durante a súa estancia e finalizada esta.</w:t>
            </w:r>
            <w:r w:rsidR="00831045">
              <w:rPr>
                <w:rFonts w:ascii="ITC New Baskerville Std" w:eastAsia="Cambria" w:hAnsi="ITC New Baskerville Std" w:cs="Cambria Math"/>
                <w:sz w:val="24"/>
                <w:szCs w:val="24"/>
                <w:lang w:val="gl-ES"/>
              </w:rPr>
              <w:t xml:space="preserve"> </w:t>
            </w:r>
            <w:r w:rsidR="00A678FC" w:rsidRPr="0037152F">
              <w:rPr>
                <w:rFonts w:ascii="ITC New Baskerville Std" w:eastAsia="Cambria" w:hAnsi="ITC New Baskerville Std" w:cs="Cambria Math"/>
                <w:sz w:val="24"/>
                <w:szCs w:val="24"/>
                <w:lang w:val="gl-ES"/>
              </w:rPr>
              <w:t>No seu caso o estudante comprométese a coñecer e aceptar as directrices de seguridade establecidas na entidade colaboradora na súa política de seguridade, ademais da normativa xeral en materia de protección de datos.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Mostrar, en todo momento, unha actitude respe</w:t>
            </w:r>
            <w:r w:rsidR="00C128B6">
              <w:rPr>
                <w:rFonts w:ascii="ITC New Baskerville Std" w:eastAsia="Cambria" w:hAnsi="ITC New Baskerville Std" w:cs="Cambria Math"/>
                <w:sz w:val="24"/>
                <w:szCs w:val="24"/>
                <w:lang w:val="gl-ES"/>
              </w:rPr>
              <w:t>c</w:t>
            </w:r>
            <w:r w:rsidRPr="00891BC3">
              <w:rPr>
                <w:rFonts w:ascii="ITC New Baskerville Std" w:eastAsia="Cambria" w:hAnsi="ITC New Baskerville Std" w:cs="Cambria Math"/>
                <w:sz w:val="24"/>
                <w:szCs w:val="24"/>
                <w:lang w:val="gl-ES"/>
              </w:rPr>
              <w:t>tuosa cara á política da entidade colaboradora, salvagardando o bo nome da universidade á que pertence.</w:t>
            </w:r>
          </w:p>
          <w:p w:rsidR="00891BC3" w:rsidRDefault="00891BC3" w:rsidP="00D74C50">
            <w:pPr>
              <w:tabs>
                <w:tab w:val="left" w:pos="429"/>
              </w:tabs>
              <w:spacing w:line="22" w:lineRule="atLeast"/>
              <w:ind w:left="284" w:hanging="284"/>
              <w:jc w:val="both"/>
              <w:rPr>
                <w:rFonts w:ascii="ITC New Baskerville Std" w:eastAsia="Cambria" w:hAnsi="ITC New Baskerville Std" w:cs="Cambria Math"/>
                <w:sz w:val="24"/>
                <w:szCs w:val="24"/>
                <w:lang w:val="gl-ES"/>
              </w:rPr>
            </w:pPr>
          </w:p>
        </w:tc>
      </w:tr>
    </w:tbl>
    <w:p w:rsidR="003D5069" w:rsidRDefault="00B5228B" w:rsidP="009B55AD">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   </w:t>
      </w:r>
      <w:r w:rsidR="00B74374">
        <w:rPr>
          <w:rFonts w:ascii="ITC New Baskerville Std" w:eastAsia="Cambria" w:hAnsi="ITC New Baskerville Std" w:cs="Cambria Math"/>
          <w:sz w:val="24"/>
          <w:szCs w:val="24"/>
          <w:lang w:val="gl-ES"/>
        </w:rPr>
        <w:t xml:space="preserve">9 </w:t>
      </w:r>
      <w:r w:rsidR="00453EDA" w:rsidRPr="00453EDA">
        <w:rPr>
          <w:rFonts w:ascii="ITC New Baskerville Std" w:eastAsia="Cambria" w:hAnsi="ITC New Baskerville Std" w:cs="Cambria Math"/>
          <w:sz w:val="24"/>
          <w:szCs w:val="24"/>
          <w:lang w:val="gl-ES"/>
        </w:rPr>
        <w:tab/>
        <w:t xml:space="preserve">Ao finalizar as prácticas, a empresa e a Universidade de Vigo entregaranlle a cada estudante un certificado </w:t>
      </w:r>
      <w:r w:rsidR="003D5069">
        <w:rPr>
          <w:rFonts w:ascii="ITC New Baskerville Std" w:eastAsia="Cambria" w:hAnsi="ITC New Baskerville Std" w:cs="Cambria Math"/>
          <w:sz w:val="24"/>
          <w:szCs w:val="24"/>
          <w:lang w:val="gl-ES"/>
        </w:rPr>
        <w:t>que conterá</w:t>
      </w:r>
      <w:r w:rsidR="003643AE">
        <w:rPr>
          <w:rFonts w:ascii="ITC New Baskerville Std" w:eastAsia="Cambria" w:hAnsi="ITC New Baskerville Std" w:cs="Cambria Math"/>
          <w:sz w:val="24"/>
          <w:szCs w:val="24"/>
          <w:lang w:val="gl-ES"/>
        </w:rPr>
        <w:t xml:space="preserve"> como mínimo </w:t>
      </w:r>
      <w:r w:rsidR="003D5069">
        <w:rPr>
          <w:rFonts w:ascii="ITC New Baskerville Std" w:eastAsia="Cambria" w:hAnsi="ITC New Baskerville Std" w:cs="Cambria Math"/>
          <w:sz w:val="24"/>
          <w:szCs w:val="24"/>
          <w:lang w:val="gl-ES"/>
        </w:rPr>
        <w:t>os seguintes aspectos: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
        <w:gridCol w:w="9170"/>
      </w:tblGrid>
      <w:tr w:rsidR="003D5069" w:rsidRPr="003D5069" w:rsidTr="009B55AD">
        <w:trPr>
          <w:tblCellSpacing w:w="15" w:type="dxa"/>
        </w:trPr>
        <w:tc>
          <w:tcPr>
            <w:tcW w:w="426" w:type="dxa"/>
            <w:vAlign w:val="center"/>
            <w:hideMark/>
          </w:tcPr>
          <w:p w:rsidR="003D5069" w:rsidRPr="003D5069" w:rsidRDefault="003D5069" w:rsidP="003D5069">
            <w:pPr>
              <w:spacing w:after="0" w:line="240" w:lineRule="auto"/>
              <w:rPr>
                <w:rFonts w:ascii="ITC New Baskerville Std" w:eastAsia="Cambria" w:hAnsi="ITC New Baskerville Std" w:cs="Cambria Math"/>
                <w:sz w:val="24"/>
                <w:szCs w:val="24"/>
                <w:lang w:val="gl-ES"/>
              </w:rPr>
            </w:pPr>
          </w:p>
        </w:tc>
        <w:tc>
          <w:tcPr>
            <w:tcW w:w="9168" w:type="dxa"/>
            <w:vAlign w:val="center"/>
            <w:hideMark/>
          </w:tcPr>
          <w:p w:rsidR="003D5069" w:rsidRPr="003D5069" w:rsidRDefault="003D5069" w:rsidP="003643AE">
            <w:pPr>
              <w:spacing w:after="0" w:line="240" w:lineRule="auto"/>
              <w:rPr>
                <w:rFonts w:ascii="ITC New Baskerville Std" w:eastAsia="Cambria" w:hAnsi="ITC New Baskerville Std" w:cs="Cambria Math"/>
                <w:sz w:val="24"/>
                <w:szCs w:val="24"/>
                <w:lang w:val="gl-ES"/>
              </w:rPr>
            </w:pPr>
            <w:r w:rsidRPr="00873F69">
              <w:rPr>
                <w:rFonts w:ascii="ITC New Baskerville Std" w:eastAsia="Cambria" w:hAnsi="ITC New Baskerville Std" w:cs="Cambria Math"/>
                <w:sz w:val="24"/>
                <w:szCs w:val="24"/>
                <w:lang w:val="gl-ES"/>
              </w:rPr>
              <w:t>a) Titular do documento.</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b) Entidade colaboradora on</w:t>
            </w:r>
            <w:r w:rsidRPr="00873F69">
              <w:rPr>
                <w:rFonts w:ascii="ITC New Baskerville Std" w:eastAsia="Cambria" w:hAnsi="ITC New Baskerville Std" w:cs="Cambria Math"/>
                <w:sz w:val="24"/>
                <w:szCs w:val="24"/>
                <w:lang w:val="gl-ES"/>
              </w:rPr>
              <w:t>de se realizaron as prácticas.</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c) Descrición da práctica especificando a súa duración e da</w:t>
            </w:r>
            <w:r w:rsidRPr="00873F69">
              <w:rPr>
                <w:rFonts w:ascii="ITC New Baskerville Std" w:eastAsia="Cambria" w:hAnsi="ITC New Baskerville Std" w:cs="Cambria Math"/>
                <w:sz w:val="24"/>
                <w:szCs w:val="24"/>
                <w:lang w:val="gl-ES"/>
              </w:rPr>
              <w:t>tas de realización.</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d) Actividades realizadas.</w:t>
            </w:r>
            <w:r w:rsidRPr="003D5069">
              <w:rPr>
                <w:rFonts w:ascii="ITC New Baskerville Std" w:eastAsia="Cambria" w:hAnsi="ITC New Baskerville Std" w:cs="Cambria Math"/>
                <w:sz w:val="24"/>
                <w:szCs w:val="24"/>
                <w:lang w:val="gl-ES"/>
              </w:rPr>
              <w:br/>
              <w:t xml:space="preserve"> </w:t>
            </w:r>
          </w:p>
        </w:tc>
      </w:tr>
    </w:tbl>
    <w:p w:rsidR="00453EDA" w:rsidRPr="00453EDA"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10</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A persoa titora da entidade colaboradora poderá recibir o recoñecemento da Universidade de Vigo polo labor realizado.</w:t>
      </w:r>
    </w:p>
    <w:p w:rsidR="00CF6A70"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11</w:t>
      </w:r>
      <w:r w:rsidR="00453EDA" w:rsidRPr="00453EDA">
        <w:rPr>
          <w:rFonts w:ascii="ITC New Baskerville Std" w:eastAsia="Cambria" w:hAnsi="ITC New Baskerville Std" w:cs="Cambria Math"/>
          <w:sz w:val="24"/>
          <w:szCs w:val="24"/>
          <w:lang w:val="gl-ES"/>
        </w:rPr>
        <w:tab/>
        <w:t xml:space="preserve">Coa finalidade de manter en todo momento o rexistro de estudantes participantes baixo este convenio,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comunicaralle á Universidade de Vigo ou á entidade xestora calquera alta e baixa que se produza na empresa. Xunto á alta de cada estudante, a empresa comunicará a data do comezo e finalización das prácticas, o período de vacacións se o houbese, o lugar do desenvolvemento e o seu contido.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SEXTA</w:t>
      </w:r>
    </w:p>
    <w:p w:rsidR="00453EDA" w:rsidRPr="00453EDA" w:rsidRDefault="004B0957"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w:t>
      </w:r>
      <w:r w:rsidR="00453EDA" w:rsidRPr="00453EDA">
        <w:rPr>
          <w:rFonts w:ascii="ITC New Baskerville Std" w:eastAsia="Cambria" w:hAnsi="ITC New Baskerville Std" w:cs="Cambria Math"/>
          <w:sz w:val="24"/>
          <w:szCs w:val="24"/>
          <w:lang w:val="gl-ES"/>
        </w:rPr>
        <w:t xml:space="preserve"> período de prácticas non constitúe, baixo ningún concepto, unha relación laboral entre o alumnado e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nin coa Universidade de Vigo ou a entidade xestora.</w:t>
      </w:r>
    </w:p>
    <w:p w:rsidR="00042DD6"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Non poderá formalizarse un contrato de traballo entre a empresa e o estudantado mentres non finalice a práctica.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SÉTIMA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poderá concederlle a cada estudante seleccionado unha bolsa mensual para realizar prácticas académicas externas, axustándose á normativa complementaria desenvolvida pola Universidade.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OITAVA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Segundo a Resolución da Dirección Xeral de Ordenación da Seguridade Social, do 25 de marzo de 1999, as prácticas en empresas que realicen as e os estudantes estarán cubertas polo seguro escolar, </w:t>
      </w:r>
      <w:r w:rsidRPr="009B55AD">
        <w:rPr>
          <w:rFonts w:ascii="ITC New Baskerville Std" w:eastAsia="Cambria" w:hAnsi="ITC New Baskerville Std" w:cs="Cambria Math"/>
          <w:sz w:val="24"/>
          <w:szCs w:val="24"/>
          <w:lang w:val="gl-ES"/>
        </w:rPr>
        <w:t>sempre</w:t>
      </w:r>
      <w:r w:rsidRPr="00453EDA">
        <w:rPr>
          <w:rFonts w:ascii="ITC New Baskerville Std" w:eastAsia="Cambria" w:hAnsi="ITC New Baskerville Std" w:cs="Cambria Math"/>
          <w:sz w:val="24"/>
          <w:szCs w:val="24"/>
          <w:lang w:val="gl-ES"/>
        </w:rPr>
        <w:t xml:space="preserve"> que o alumnado estea matriculado e ao corrente do pago do citado seguro.  </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ten subscrito ademais un seguro de responsabilidade civil e outro de accidentes, complementarios ao seguro escolar.</w:t>
      </w:r>
    </w:p>
    <w:p w:rsidR="005D6241" w:rsidRPr="00453EDA" w:rsidRDefault="005D6241"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 inclusión no réxime xeral da Seguridade Social do estudantado que realice prácticas académicas externas, rexerase polo establecido no R.D. 1493/2011 de 24 de outubro e polo </w:t>
      </w:r>
      <w:r w:rsidR="00A1406C">
        <w:rPr>
          <w:rFonts w:ascii="ITC New Baskerville Std" w:eastAsia="Cambria" w:hAnsi="ITC New Baskerville Std" w:cs="Cambria Math"/>
          <w:sz w:val="24"/>
          <w:szCs w:val="24"/>
          <w:lang w:val="gl-ES"/>
        </w:rPr>
        <w:t>desenvolvemento</w:t>
      </w:r>
      <w:r>
        <w:rPr>
          <w:rFonts w:ascii="ITC New Baskerville Std" w:eastAsia="Cambria" w:hAnsi="ITC New Baskerville Std" w:cs="Cambria Math"/>
          <w:sz w:val="24"/>
          <w:szCs w:val="24"/>
          <w:lang w:val="gl-ES"/>
        </w:rPr>
        <w:t xml:space="preserve"> normativo establecido pola Tesourería Xeral da Seguridade Social.</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NOVENA </w:t>
      </w:r>
    </w:p>
    <w:p w:rsidR="00E700A7" w:rsidRPr="00E700A7" w:rsidRDefault="00E700A7" w:rsidP="00E700A7">
      <w:pPr>
        <w:jc w:val="both"/>
        <w:rPr>
          <w:rFonts w:ascii="ITC New Baskerville Std" w:eastAsia="Cambria" w:hAnsi="ITC New Baskerville Std" w:cs="Cambria Math"/>
          <w:color w:val="FF0000"/>
          <w:sz w:val="24"/>
          <w:szCs w:val="24"/>
          <w:lang w:val="gl-ES"/>
        </w:rPr>
      </w:pPr>
      <w:r w:rsidRPr="00E700A7">
        <w:rPr>
          <w:rFonts w:ascii="ITC New Baskerville Std" w:eastAsia="Cambria" w:hAnsi="ITC New Baskerville Std" w:cs="Cambria Math"/>
          <w:color w:val="FF0000"/>
          <w:sz w:val="24"/>
          <w:szCs w:val="24"/>
          <w:lang w:val="gl-ES"/>
        </w:rPr>
        <w:t>(ESCOLLER ENTRE A OPCIÓN A, B. OU C, DEBENDO QUEDAR NO CONVENIO UNHA SOA OPCIÓN)</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A</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EN ESPAÑA OU CON PAÍSES DA UE (e ademais Liechtenstein, Islandia e Noruega)</w:t>
      </w:r>
    </w:p>
    <w:p w:rsidR="00E700A7" w:rsidRPr="00E700A7" w:rsidRDefault="00E700A7" w:rsidP="00E700A7">
      <w:pPr>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tratar os datos de carácter persoal coa finalidade exclusiva de realizar o servizo.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que os datos de carácter persoal non se cederán a terceiros, salvo nos casos en que exista unha obrigación legal.</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persoas interesadas poderán exercer, no seu caso, os dereitos de acceso, rectificación, cancelación, oposición, limitación e portabilidade nos termos legais previstos, mediante a comunicación ao domicilio social da respectiva entidade.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 entidade colaboradora adoptará as medidas adecuadas para limitar o acceso dos seus empregados aos datos persoais durante a vixencia deste convenio.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B</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CON PAÍSES DECLARADOS DE NIVEL ADECUADO POLA COMISIÓN EUROPEA</w:t>
      </w:r>
      <w:r w:rsidRPr="00E700A7">
        <w:rPr>
          <w:rFonts w:ascii="ITC New Baskerville Std" w:eastAsia="Cambria" w:hAnsi="ITC New Baskerville Std" w:cs="Cambria Math"/>
          <w:szCs w:val="24"/>
          <w:lang w:val="gl-ES"/>
        </w:rPr>
        <w:footnoteReference w:id="1"/>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sidRPr="00E700A7">
        <w:rPr>
          <w:rFonts w:ascii="ITC New Baskerville Std" w:eastAsia="Cambria" w:hAnsi="ITC New Baskerville Std" w:cs="Cambria Math"/>
          <w:szCs w:val="24"/>
          <w:lang w:val="gl-ES"/>
        </w:rPr>
        <w:footnoteReference w:id="2"/>
      </w:r>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tratar os datos de carácter persoal coa finalidade exclusiva de realizar o servizo.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persoas interesadas poderán exercer, no seu caso, os dereitos de acceso, rectificación, cancelación, oposición, limitación e portabilidade nos termos legais previstos, mediante a comunicación ao domicilio social da respectiva entidade.</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 entidade colaboradora adoptará as medidas adecuadas para limitar o acceso dos seus empregados aos datos persoais durante a vixencia deste convenio.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C</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CON PAÍSES NON PERTENCENTES Á UE E NON DECLARADOS ADECUADOS</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se a persoa interesada deu explicitamente o seu consentimento á transferencia de datos, tras ser informada dos posibles riscos para ela das devanditas transferencias debido á ausencia dunha decisión de adecuación ou das garantías adecuadas.</w:t>
      </w:r>
    </w:p>
    <w:p w:rsidR="00674FBF" w:rsidRPr="00E700A7" w:rsidRDefault="00674FBF" w:rsidP="00674FBF">
      <w:pPr>
        <w:tabs>
          <w:tab w:val="left" w:pos="429"/>
        </w:tabs>
        <w:spacing w:line="22" w:lineRule="atLeast"/>
        <w:jc w:val="both"/>
        <w:rPr>
          <w:rFonts w:ascii="ITC New Baskerville Std" w:eastAsia="Cambria" w:hAnsi="ITC New Baskerville Std" w:cs="Cambria Math"/>
          <w:sz w:val="24"/>
          <w:szCs w:val="24"/>
        </w:rPr>
      </w:pP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DÉCIMA</w:t>
      </w:r>
    </w:p>
    <w:p w:rsidR="00CF6A70" w:rsidRPr="00CF6A70"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Este convenio non supón ningún gasto para a Universidade de Vigo, polo que non se precisa c</w:t>
      </w:r>
      <w:r w:rsidR="002F7357" w:rsidRPr="00042DD6">
        <w:rPr>
          <w:rFonts w:ascii="ITC New Baskerville Std" w:eastAsia="Cambria" w:hAnsi="ITC New Baskerville Std" w:cs="Cambria Math"/>
          <w:sz w:val="24"/>
          <w:szCs w:val="24"/>
          <w:lang w:val="gl-ES"/>
        </w:rPr>
        <w:t>onsignación orzamentaria.</w:t>
      </w:r>
    </w:p>
    <w:p w:rsidR="00042DD6"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DÉCIMO PRIMEIRA</w:t>
      </w:r>
    </w:p>
    <w:p w:rsidR="00F1501B" w:rsidRPr="00453EDA"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Créase unha comisión paritaria de seguimento do presente convenio integrada por:</w:t>
      </w:r>
    </w:p>
    <w:p w:rsidR="00F1501B" w:rsidRPr="0037152F" w:rsidRDefault="00635F74" w:rsidP="000E4025">
      <w:pPr>
        <w:tabs>
          <w:tab w:val="left" w:pos="429"/>
        </w:tabs>
        <w:spacing w:line="22" w:lineRule="atLeast"/>
        <w:jc w:val="both"/>
        <w:rPr>
          <w:rFonts w:ascii="ITC New Baskerville Std" w:eastAsia="Cambria" w:hAnsi="ITC New Baskerville Std" w:cs="Cambria Math"/>
          <w:sz w:val="24"/>
          <w:szCs w:val="24"/>
          <w:lang w:val="gl-ES"/>
        </w:rPr>
      </w:pPr>
      <w:r w:rsidRPr="00635F74">
        <w:rPr>
          <w:rFonts w:ascii="ITC New Baskerville Std" w:eastAsia="Cambria" w:hAnsi="ITC New Baskerville Std" w:cs="Cambria Math"/>
          <w:sz w:val="24"/>
          <w:szCs w:val="24"/>
          <w:lang w:val="gl-ES"/>
        </w:rPr>
        <w:t xml:space="preserve">O Vicerreitor ou Vicerreitora de </w:t>
      </w:r>
      <w:r w:rsidR="00262277" w:rsidRPr="0037152F">
        <w:rPr>
          <w:rFonts w:ascii="ITC New Baskerville Std" w:eastAsia="Cambria" w:hAnsi="ITC New Baskerville Std" w:cs="Cambria Math"/>
          <w:sz w:val="24"/>
          <w:szCs w:val="24"/>
          <w:lang w:val="gl-ES"/>
        </w:rPr>
        <w:t>Captación de Alumnado, Estudantes e Extensión Universitaria</w:t>
      </w:r>
      <w:r w:rsidRPr="0037152F">
        <w:rPr>
          <w:rFonts w:ascii="ITC New Baskerville Std" w:eastAsia="Cambria" w:hAnsi="ITC New Baskerville Std" w:cs="Cambria Math"/>
          <w:sz w:val="24"/>
          <w:szCs w:val="24"/>
          <w:lang w:val="gl-ES"/>
        </w:rPr>
        <w:t>, ou persoa en quen delegue</w:t>
      </w:r>
      <w:r w:rsidR="00F1501B" w:rsidRPr="0037152F">
        <w:rPr>
          <w:rFonts w:ascii="ITC New Baskerville Std" w:eastAsia="Cambria" w:hAnsi="ITC New Baskerville Std" w:cs="Cambria Math"/>
          <w:sz w:val="24"/>
          <w:szCs w:val="24"/>
          <w:lang w:val="gl-ES"/>
        </w:rPr>
        <w:t>, en representación da Universidade de Vigo.</w:t>
      </w:r>
    </w:p>
    <w:p w:rsidR="00F1501B" w:rsidRPr="00F1501B"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F1501B">
        <w:rPr>
          <w:rFonts w:ascii="ITC New Baskerville Std" w:eastAsia="Cambria" w:hAnsi="ITC New Baskerville Std" w:cs="Cambria Math"/>
          <w:sz w:val="24"/>
          <w:szCs w:val="24"/>
          <w:lang w:val="gl-ES"/>
        </w:rPr>
        <w:t>O representante da Entidade colaborador</w:t>
      </w:r>
      <w:r>
        <w:rPr>
          <w:rFonts w:ascii="ITC New Baskerville Std" w:eastAsia="Cambria" w:hAnsi="ITC New Baskerville Std" w:cs="Cambria Math"/>
          <w:sz w:val="24"/>
          <w:szCs w:val="24"/>
          <w:lang w:val="gl-ES"/>
        </w:rPr>
        <w:t>a que asina o presente Convenio</w:t>
      </w:r>
      <w:r w:rsidRPr="00F1501B">
        <w:rPr>
          <w:rFonts w:ascii="ITC New Baskerville Std" w:eastAsia="Cambria" w:hAnsi="ITC New Baskerville Std" w:cs="Cambria Math"/>
          <w:sz w:val="24"/>
          <w:szCs w:val="24"/>
          <w:lang w:val="gl-ES"/>
        </w:rPr>
        <w:t xml:space="preserve"> ou persoa en quen delegue, en representación de </w:t>
      </w:r>
      <w:r w:rsidR="00C40510" w:rsidRPr="00C40510">
        <w:rPr>
          <w:rFonts w:ascii="ITC New Baskerville Std" w:eastAsia="Cambria" w:hAnsi="ITC New Baskerville Std" w:cs="Cambria Math"/>
          <w:sz w:val="24"/>
          <w:szCs w:val="24"/>
          <w:highlight w:val="lightGray"/>
          <w:lang w:val="gl-ES"/>
        </w:rPr>
        <w:t>(a empresa/entidade)</w:t>
      </w:r>
      <w:r w:rsidRPr="00F1501B">
        <w:rPr>
          <w:rFonts w:ascii="ITC New Baskerville Std" w:eastAsia="Cambria" w:hAnsi="ITC New Baskerville Std" w:cs="Cambria Math"/>
          <w:sz w:val="24"/>
          <w:szCs w:val="24"/>
          <w:lang w:val="gl-ES"/>
        </w:rPr>
        <w:t xml:space="preserve">. </w:t>
      </w:r>
    </w:p>
    <w:p w:rsidR="00453EDA" w:rsidRPr="00453EDA"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Esta comisión resolverá os problemas que suscite este convenio na súa execución, garantirá o desenvolvemento normal dos compromisos asumidos e proporalles ás entidades outorgantes xeitos de aumentar a súa eficacia. Reuniranse cando así o considere oportuno cada unha das partes. </w:t>
      </w:r>
      <w:r w:rsidRPr="00453EDA">
        <w:rPr>
          <w:rFonts w:ascii="ITC New Baskerville Std" w:eastAsia="Cambria" w:hAnsi="ITC New Baskerville Std" w:cs="Cambria Math"/>
          <w:sz w:val="24"/>
          <w:szCs w:val="24"/>
          <w:lang w:val="gl-ES"/>
        </w:rPr>
        <w:tab/>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SEGUNDA</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1 </w:t>
      </w:r>
      <w:r w:rsidRPr="00583CB6">
        <w:rPr>
          <w:rFonts w:ascii="ITC New Baskerville Std" w:eastAsia="Cambria" w:hAnsi="ITC New Baskerville Std" w:cs="Cambria Math"/>
          <w:sz w:val="24"/>
          <w:szCs w:val="24"/>
          <w:lang w:val="gl-ES"/>
        </w:rPr>
        <w:t>Este convenio empezará a producir os seus efectos a partir da data da súa si</w:t>
      </w:r>
      <w:r w:rsidR="00A41A8A">
        <w:rPr>
          <w:rFonts w:ascii="ITC New Baskerville Std" w:eastAsia="Cambria" w:hAnsi="ITC New Baskerville Std" w:cs="Cambria Math"/>
          <w:sz w:val="24"/>
          <w:szCs w:val="24"/>
          <w:lang w:val="gl-ES"/>
        </w:rPr>
        <w:t>natura e terá unha duración de 4</w:t>
      </w:r>
      <w:r w:rsidRPr="00583CB6">
        <w:rPr>
          <w:rFonts w:ascii="ITC New Baskerville Std" w:eastAsia="Cambria" w:hAnsi="ITC New Baskerville Std" w:cs="Cambria Math"/>
          <w:sz w:val="24"/>
          <w:szCs w:val="24"/>
          <w:lang w:val="gl-ES"/>
        </w:rPr>
        <w:t xml:space="preserve"> anos. </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 xml:space="preserve">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 </w:t>
      </w:r>
    </w:p>
    <w:p w:rsidR="00583CB6" w:rsidRPr="00583CB6" w:rsidRDefault="00583CB6" w:rsidP="00583CB6">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2. Son causas de resolución:</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de vixencia do convenio sen acordarse a prórroga do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máximo de vixencia do mesmo incluído o período de prórroga establecido no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acordo unánime dos asinantes.</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 xml:space="preserve">incumprimento das obrigas e compromisos asumidos por parte de algún dos asinantes. </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decisión xudicial declaratoria da nulidade do convenio.</w:t>
      </w:r>
    </w:p>
    <w:p w:rsidR="00453EDA"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calquera das causas contempladas na normativa da universidade sobre</w:t>
      </w:r>
      <w:r>
        <w:rPr>
          <w:rFonts w:ascii="ITC New Baskerville Std" w:eastAsia="Cambria" w:hAnsi="ITC New Baskerville Std" w:cs="Cambria Math"/>
          <w:sz w:val="24"/>
          <w:szCs w:val="24"/>
          <w:lang w:val="gl-ES"/>
        </w:rPr>
        <w:t xml:space="preserve"> prácticas externas.</w:t>
      </w:r>
      <w:r w:rsidRPr="00583CB6">
        <w:rPr>
          <w:rFonts w:ascii="ITC New Baskerville Std" w:eastAsia="Cambria" w:hAnsi="ITC New Baskerville Std" w:cs="Cambria Math"/>
          <w:sz w:val="24"/>
          <w:szCs w:val="24"/>
          <w:lang w:val="gl-ES"/>
        </w:rPr>
        <w:t xml:space="preserve"> o contido do convenio.</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Se no momento da rescisión algún ou algunha estudante estivese realizando prácticas, continuará estas ata o remate establecido.</w:t>
      </w:r>
    </w:p>
    <w:p w:rsidR="00042DD6"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4 </w:t>
      </w:r>
      <w:r w:rsidRPr="00453EDA">
        <w:rPr>
          <w:rFonts w:ascii="ITC New Baskerville Std" w:eastAsia="Cambria" w:hAnsi="ITC New Baskerville Std" w:cs="Cambria Math"/>
          <w:sz w:val="24"/>
          <w:szCs w:val="24"/>
          <w:lang w:val="gl-ES"/>
        </w:rPr>
        <w:tab/>
        <w:t xml:space="preserve">Coa sinatura deste convenio queda derrogado calquera outro que coa mesma finalidade asinaran as partes.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TERCEIRA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e a Universidade de Vigo comprométense a resolver de xeito amistoso calquera desacordo que poida xurdir no desenvolvemento do presente convenio. </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As cuestións litixiosas que xurdan con respecto á interpretación, modificación, resolución e efectos do presente convenio serán resoltas, en primeira instancia, pola comisión mixta paritaria. Os conflitos que poidan xurdir polas partes, e que non se poidan resolver na comisión mixta, someteranse á resolución da xurisdición contencioso-administrativa, dado o carácter administrativo do convenio.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 como proba de conformidade, as </w:t>
      </w:r>
      <w:r w:rsidR="00FC738D">
        <w:rPr>
          <w:rFonts w:ascii="ITC New Baskerville Std" w:eastAsia="Cambria" w:hAnsi="ITC New Baskerville Std" w:cs="Cambria Math"/>
          <w:sz w:val="24"/>
          <w:szCs w:val="24"/>
          <w:lang w:val="gl-ES"/>
        </w:rPr>
        <w:t xml:space="preserve">partes comparecentes asinan </w:t>
      </w:r>
      <w:r w:rsidRPr="00453EDA">
        <w:rPr>
          <w:rFonts w:ascii="ITC New Baskerville Std" w:eastAsia="Cambria" w:hAnsi="ITC New Baskerville Std" w:cs="Cambria Math"/>
          <w:sz w:val="24"/>
          <w:szCs w:val="24"/>
          <w:lang w:val="gl-ES"/>
        </w:rPr>
        <w:t>o presente convenio</w:t>
      </w:r>
      <w:r w:rsidR="00FC738D">
        <w:rPr>
          <w:rFonts w:ascii="ITC New Baskerville Std" w:eastAsia="Cambria" w:hAnsi="ITC New Baskerville Std" w:cs="Cambria Math"/>
          <w:sz w:val="24"/>
          <w:szCs w:val="24"/>
          <w:lang w:val="gl-ES"/>
        </w:rPr>
        <w:t xml:space="preserve"> en Vigo, na data da última sinatura electrónica. </w:t>
      </w:r>
    </w:p>
    <w:p w:rsidR="00453EDA" w:rsidRPr="007E13DA" w:rsidRDefault="00453EDA" w:rsidP="000E4025">
      <w:pPr>
        <w:tabs>
          <w:tab w:val="left" w:pos="429"/>
        </w:tabs>
        <w:spacing w:line="22" w:lineRule="atLeast"/>
        <w:jc w:val="both"/>
        <w:rPr>
          <w:rFonts w:ascii="ITC New Baskerville Std" w:eastAsia="Cambria" w:hAnsi="ITC New Baskerville Std" w:cs="Cambria Math"/>
          <w:sz w:val="24"/>
          <w:szCs w:val="24"/>
          <w:u w:val="single"/>
        </w:rPr>
      </w:pPr>
      <w:bookmarkStart w:id="3" w:name="_GoBack"/>
      <w:bookmarkEnd w:id="3"/>
    </w:p>
    <w:p w:rsidR="00453EDA" w:rsidRDefault="00453EDA" w:rsidP="00CF6A70">
      <w:pPr>
        <w:tabs>
          <w:tab w:val="left" w:pos="429"/>
        </w:tabs>
        <w:jc w:val="both"/>
        <w:rPr>
          <w:rFonts w:ascii="ITC New Baskerville Std" w:eastAsia="Cambria" w:hAnsi="ITC New Baskerville Std" w:cs="Cambria Math"/>
          <w:sz w:val="24"/>
          <w:szCs w:val="24"/>
          <w:lang w:val="gl-ES"/>
        </w:rPr>
      </w:pPr>
    </w:p>
    <w:p w:rsidR="00042DD6" w:rsidRPr="00C62D95" w:rsidRDefault="00042DD6" w:rsidP="00CF6A70">
      <w:pPr>
        <w:tabs>
          <w:tab w:val="left" w:pos="429"/>
        </w:tabs>
        <w:jc w:val="both"/>
        <w:rPr>
          <w:rFonts w:ascii="ITC New Baskerville Std" w:eastAsia="Cambria" w:hAnsi="ITC New Baskerville Std" w:cs="Cambria Math"/>
          <w:sz w:val="4"/>
          <w:szCs w:val="4"/>
          <w:lang w:val="gl-ES"/>
        </w:rPr>
      </w:pP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C62D95" w:rsidRPr="00C62D95" w:rsidRDefault="00C62D95" w:rsidP="00CF6A70">
      <w:pPr>
        <w:tabs>
          <w:tab w:val="left" w:pos="429"/>
        </w:tabs>
        <w:jc w:val="both"/>
        <w:rPr>
          <w:rFonts w:ascii="ITC New Baskerville Std" w:eastAsia="Cambria" w:hAnsi="ITC New Baskerville Std" w:cs="Cambria Math"/>
          <w:sz w:val="2"/>
          <w:szCs w:val="2"/>
          <w:lang w:val="gl-ES"/>
        </w:rPr>
        <w:sectPr w:rsidR="00C62D95" w:rsidRPr="00C62D95" w:rsidSect="009B55AD">
          <w:headerReference w:type="default" r:id="rId8"/>
          <w:footerReference w:type="default" r:id="rId9"/>
          <w:footerReference w:type="first" r:id="rId10"/>
          <w:pgSz w:w="11906" w:h="16838" w:code="9"/>
          <w:pgMar w:top="2268" w:right="849" w:bottom="1418" w:left="1418" w:header="709" w:footer="74" w:gutter="0"/>
          <w:pgNumType w:start="1"/>
          <w:cols w:space="708"/>
          <w:titlePg/>
          <w:docGrid w:linePitch="360"/>
        </w:sectPr>
      </w:pPr>
    </w:p>
    <w:p w:rsidR="00453EDA" w:rsidRP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reitor da Universidade de Vigo</w:t>
      </w:r>
    </w:p>
    <w:p w:rsid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(Cargo e empresa/institución)</w:t>
      </w:r>
      <w:r w:rsidR="00CF6A70">
        <w:rPr>
          <w:rFonts w:ascii="ITC New Baskerville Std" w:eastAsia="Cambria" w:hAnsi="ITC New Baskerville Std" w:cs="Cambria Math"/>
          <w:sz w:val="24"/>
          <w:szCs w:val="24"/>
          <w:lang w:val="gl-ES"/>
        </w:rPr>
        <w:t xml:space="preserve"> </w:t>
      </w:r>
    </w:p>
    <w:p w:rsidR="00CF6A70" w:rsidRPr="00453EDA" w:rsidRDefault="00CF6A70" w:rsidP="00CF6A70">
      <w:pPr>
        <w:tabs>
          <w:tab w:val="left" w:pos="429"/>
        </w:tabs>
        <w:jc w:val="both"/>
        <w:rPr>
          <w:rFonts w:ascii="ITC New Baskerville Std" w:eastAsia="Cambria" w:hAnsi="ITC New Baskerville Std" w:cs="Cambria Math"/>
          <w:sz w:val="24"/>
          <w:szCs w:val="24"/>
          <w:lang w:val="gl-ES"/>
        </w:rPr>
        <w:sectPr w:rsidR="00CF6A70" w:rsidRPr="00453EDA" w:rsidSect="00CF6A70">
          <w:type w:val="continuous"/>
          <w:pgSz w:w="11906" w:h="16838" w:code="9"/>
          <w:pgMar w:top="2410" w:right="1134" w:bottom="1560" w:left="1418" w:header="709" w:footer="74" w:gutter="0"/>
          <w:cols w:num="2" w:space="708"/>
          <w:docGrid w:linePitch="360"/>
        </w:sectPr>
      </w:pPr>
    </w:p>
    <w:p w:rsidR="00F844CF" w:rsidRPr="00C62D95" w:rsidRDefault="00F844CF" w:rsidP="00CF6A70">
      <w:pPr>
        <w:rPr>
          <w:sz w:val="2"/>
          <w:szCs w:val="2"/>
        </w:rPr>
      </w:pPr>
    </w:p>
    <w:sectPr w:rsidR="00F844CF" w:rsidRPr="00C62D95" w:rsidSect="00C62D95">
      <w:type w:val="continuous"/>
      <w:pgSz w:w="11906" w:h="16838" w:code="9"/>
      <w:pgMar w:top="2268" w:right="1134" w:bottom="1701" w:left="1418"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F7" w:rsidRDefault="009767F7" w:rsidP="002F5A9F">
      <w:pPr>
        <w:spacing w:after="0" w:line="240" w:lineRule="auto"/>
      </w:pPr>
      <w:r>
        <w:separator/>
      </w:r>
    </w:p>
  </w:endnote>
  <w:endnote w:type="continuationSeparator" w:id="0">
    <w:p w:rsidR="009767F7" w:rsidRDefault="009767F7" w:rsidP="002F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92" w:rsidRDefault="003F1892" w:rsidP="003F1892">
    <w:pPr>
      <w:pStyle w:val="Piedepgina"/>
    </w:pPr>
    <w:r>
      <w:fldChar w:fldCharType="begin"/>
    </w:r>
    <w:r>
      <w:instrText xml:space="preserve"> PAGE  \* Arabic  \* MERGEFORMAT </w:instrText>
    </w:r>
    <w:r>
      <w:fldChar w:fldCharType="separate"/>
    </w:r>
    <w:r w:rsidR="00FC738D">
      <w:rPr>
        <w:noProof/>
      </w:rPr>
      <w:t>12</w:t>
    </w:r>
    <w:r>
      <w:fldChar w:fldCharType="end"/>
    </w:r>
  </w:p>
  <w:p w:rsidR="003F1892" w:rsidRDefault="003F1892" w:rsidP="003F1892">
    <w:pPr>
      <w:pStyle w:val="Piedepgina"/>
    </w:pPr>
  </w:p>
  <w:p w:rsidR="003F1892" w:rsidRDefault="003F1892" w:rsidP="003F18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505EB7F8" wp14:editId="5CC48141">
                <wp:extent cx="2466340" cy="438150"/>
                <wp:effectExtent l="0" t="0" r="0" b="0"/>
                <wp:docPr id="1" name="Imagen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p w:rsidR="003F1892" w:rsidRDefault="003F1892" w:rsidP="003F18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F7" w:rsidRDefault="009767F7" w:rsidP="002F5A9F">
      <w:pPr>
        <w:spacing w:after="0" w:line="240" w:lineRule="auto"/>
      </w:pPr>
      <w:r>
        <w:separator/>
      </w:r>
    </w:p>
  </w:footnote>
  <w:footnote w:type="continuationSeparator" w:id="0">
    <w:p w:rsidR="009767F7" w:rsidRDefault="009767F7" w:rsidP="002F5A9F">
      <w:pPr>
        <w:spacing w:after="0" w:line="240" w:lineRule="auto"/>
      </w:pPr>
      <w:r>
        <w:continuationSeparator/>
      </w:r>
    </w:p>
  </w:footnote>
  <w:footnote w:id="1">
    <w:p w:rsidR="00E700A7" w:rsidRPr="004A3B1E" w:rsidRDefault="00E700A7" w:rsidP="00E700A7">
      <w:pPr>
        <w:pStyle w:val="Textonotapie"/>
        <w:rPr>
          <w:lang w:val="es-ES"/>
        </w:rPr>
      </w:pPr>
      <w:r>
        <w:rPr>
          <w:rStyle w:val="Refdenotaalpie"/>
        </w:rPr>
        <w:footnoteRef/>
      </w:r>
      <w:r>
        <w:t xml:space="preserve"> </w:t>
      </w:r>
      <w:r w:rsidRPr="00342CBC">
        <w:rPr>
          <w:rFonts w:ascii="Arial" w:hAnsi="Arial" w:cs="Arial"/>
          <w:spacing w:val="-4"/>
          <w:sz w:val="16"/>
          <w:szCs w:val="16"/>
        </w:rPr>
        <w:t>Os destinatarios declarados adecuados pola Comisión Europea ata a data son os seguintes países: Suíza, Canadá, Arxentina, Guernsey, Illa de Man, Xersei, Illas Feroe, Andorra, Israel, Uruguai, Nova Zelandia e Estados Unidos.</w:t>
      </w:r>
    </w:p>
  </w:footnote>
  <w:footnote w:id="2">
    <w:p w:rsidR="00E700A7" w:rsidRPr="004A3B1E" w:rsidRDefault="00E700A7" w:rsidP="00E700A7">
      <w:pPr>
        <w:pStyle w:val="Textonotapie"/>
        <w:rPr>
          <w:lang w:val="es-ES"/>
        </w:rPr>
      </w:pPr>
      <w:r>
        <w:rPr>
          <w:rStyle w:val="Refdenotaalpie"/>
        </w:rPr>
        <w:footnoteRef/>
      </w:r>
      <w:r>
        <w:t xml:space="preserve"> </w:t>
      </w:r>
      <w:r w:rsidRPr="00342CBC">
        <w:rPr>
          <w:rFonts w:ascii="Arial" w:hAnsi="Arial" w:cs="Arial"/>
          <w:spacing w:val="-4"/>
          <w:sz w:val="16"/>
          <w:szCs w:val="16"/>
        </w:rPr>
        <w:t xml:space="preserve">Dependendo do lugar onde se encontre a entidade haberá que engadir unha decisión ou outra. O listado das Decisións atópase na web: </w:t>
      </w:r>
      <w:hyperlink r:id="rId1" w:history="1">
        <w:r w:rsidRPr="00342CBC">
          <w:rPr>
            <w:rFonts w:ascii="Arial" w:hAnsi="Arial" w:cs="Arial"/>
            <w:spacing w:val="-4"/>
            <w:sz w:val="16"/>
            <w:szCs w:val="16"/>
          </w:rPr>
          <w:t>https://www.aepd.es/reglamento/cumplimiento/transferencias-internacionales.html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0BCD4641" wp14:editId="5D0CD546">
                <wp:extent cx="2466340" cy="438150"/>
                <wp:effectExtent l="0" t="0" r="0" b="0"/>
                <wp:docPr id="5" name="Imagen 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1467"/>
        </w:tabs>
        <w:ind w:left="1467" w:hanging="900"/>
      </w:pPr>
      <w:rPr>
        <w:rFonts w:ascii="Helvetica" w:hAnsi="Helvetica" w:cs="Times New Roman"/>
        <w:sz w:val="20"/>
        <w:szCs w:val="20"/>
      </w:rPr>
    </w:lvl>
  </w:abstractNum>
  <w:abstractNum w:abstractNumId="1" w15:restartNumberingAfterBreak="0">
    <w:nsid w:val="26542EFF"/>
    <w:multiLevelType w:val="hybridMultilevel"/>
    <w:tmpl w:val="73108F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8762AE"/>
    <w:multiLevelType w:val="hybridMultilevel"/>
    <w:tmpl w:val="152C926A"/>
    <w:lvl w:ilvl="0" w:tplc="D6EA4A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D3114D"/>
    <w:multiLevelType w:val="hybridMultilevel"/>
    <w:tmpl w:val="1C52B56A"/>
    <w:lvl w:ilvl="0" w:tplc="035425A2">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70053D64"/>
    <w:multiLevelType w:val="hybridMultilevel"/>
    <w:tmpl w:val="A53A443E"/>
    <w:lvl w:ilvl="0" w:tplc="D6EA4A9C">
      <w:start w:val="1"/>
      <w:numFmt w:val="lowerLetter"/>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DA"/>
    <w:rsid w:val="00042DD6"/>
    <w:rsid w:val="0005699D"/>
    <w:rsid w:val="000C7478"/>
    <w:rsid w:val="000E011F"/>
    <w:rsid w:val="000E4025"/>
    <w:rsid w:val="000F5BCF"/>
    <w:rsid w:val="001077DB"/>
    <w:rsid w:val="00114814"/>
    <w:rsid w:val="00135E5B"/>
    <w:rsid w:val="001706FB"/>
    <w:rsid w:val="00192F8E"/>
    <w:rsid w:val="0020389E"/>
    <w:rsid w:val="00262277"/>
    <w:rsid w:val="002C4407"/>
    <w:rsid w:val="002F0579"/>
    <w:rsid w:val="002F5A5C"/>
    <w:rsid w:val="002F5A9F"/>
    <w:rsid w:val="002F7357"/>
    <w:rsid w:val="003643AE"/>
    <w:rsid w:val="0037152F"/>
    <w:rsid w:val="003A54D5"/>
    <w:rsid w:val="003C656D"/>
    <w:rsid w:val="003D5069"/>
    <w:rsid w:val="003F1892"/>
    <w:rsid w:val="00453EDA"/>
    <w:rsid w:val="00471E59"/>
    <w:rsid w:val="004966CA"/>
    <w:rsid w:val="004A60F4"/>
    <w:rsid w:val="004B0957"/>
    <w:rsid w:val="004B3961"/>
    <w:rsid w:val="004C2E36"/>
    <w:rsid w:val="00583CB6"/>
    <w:rsid w:val="005867C2"/>
    <w:rsid w:val="005D6241"/>
    <w:rsid w:val="006127B5"/>
    <w:rsid w:val="00614EAA"/>
    <w:rsid w:val="00622B7D"/>
    <w:rsid w:val="00635F74"/>
    <w:rsid w:val="00674FBF"/>
    <w:rsid w:val="00682449"/>
    <w:rsid w:val="006E62E2"/>
    <w:rsid w:val="007177F6"/>
    <w:rsid w:val="00751DE7"/>
    <w:rsid w:val="007E13DA"/>
    <w:rsid w:val="007E60E6"/>
    <w:rsid w:val="00831045"/>
    <w:rsid w:val="00852198"/>
    <w:rsid w:val="00853F84"/>
    <w:rsid w:val="008543DC"/>
    <w:rsid w:val="008633DA"/>
    <w:rsid w:val="00873F69"/>
    <w:rsid w:val="00891BC3"/>
    <w:rsid w:val="008A5B28"/>
    <w:rsid w:val="008B5787"/>
    <w:rsid w:val="008C3B29"/>
    <w:rsid w:val="008D2F2B"/>
    <w:rsid w:val="008F4710"/>
    <w:rsid w:val="00927D97"/>
    <w:rsid w:val="009767F7"/>
    <w:rsid w:val="009A6169"/>
    <w:rsid w:val="009B55AD"/>
    <w:rsid w:val="009C488A"/>
    <w:rsid w:val="009D5CDC"/>
    <w:rsid w:val="00A1406C"/>
    <w:rsid w:val="00A203FE"/>
    <w:rsid w:val="00A21A60"/>
    <w:rsid w:val="00A242BF"/>
    <w:rsid w:val="00A41A8A"/>
    <w:rsid w:val="00A678FC"/>
    <w:rsid w:val="00A97681"/>
    <w:rsid w:val="00AA2C50"/>
    <w:rsid w:val="00AC65FD"/>
    <w:rsid w:val="00AE13EB"/>
    <w:rsid w:val="00B125D8"/>
    <w:rsid w:val="00B1510A"/>
    <w:rsid w:val="00B5228B"/>
    <w:rsid w:val="00B74374"/>
    <w:rsid w:val="00C128B6"/>
    <w:rsid w:val="00C40510"/>
    <w:rsid w:val="00C62D95"/>
    <w:rsid w:val="00C84D71"/>
    <w:rsid w:val="00C84F96"/>
    <w:rsid w:val="00CF5D0E"/>
    <w:rsid w:val="00CF6A70"/>
    <w:rsid w:val="00D01DC5"/>
    <w:rsid w:val="00D1126A"/>
    <w:rsid w:val="00D61483"/>
    <w:rsid w:val="00D74C50"/>
    <w:rsid w:val="00D81CBD"/>
    <w:rsid w:val="00E2009F"/>
    <w:rsid w:val="00E27D52"/>
    <w:rsid w:val="00E643FE"/>
    <w:rsid w:val="00E700A7"/>
    <w:rsid w:val="00EA517B"/>
    <w:rsid w:val="00EB124F"/>
    <w:rsid w:val="00F1501B"/>
    <w:rsid w:val="00F57170"/>
    <w:rsid w:val="00F844CF"/>
    <w:rsid w:val="00FC326C"/>
    <w:rsid w:val="00FC738D"/>
    <w:rsid w:val="00FF7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BDAF32"/>
  <w15:docId w15:val="{D61111D4-69C4-4732-9D70-1BEDF51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E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EDA"/>
  </w:style>
  <w:style w:type="paragraph" w:styleId="Piedepgina">
    <w:name w:val="footer"/>
    <w:basedOn w:val="Normal"/>
    <w:link w:val="PiedepginaCar"/>
    <w:uiPriority w:val="99"/>
    <w:unhideWhenUsed/>
    <w:rsid w:val="00453E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EDA"/>
  </w:style>
  <w:style w:type="paragraph" w:customStyle="1" w:styleId="Enderezo">
    <w:name w:val="Enderezo"/>
    <w:basedOn w:val="Normal"/>
    <w:link w:val="EnderezoCar"/>
    <w:autoRedefine/>
    <w:qFormat/>
    <w:rsid w:val="00453EDA"/>
    <w:pPr>
      <w:tabs>
        <w:tab w:val="left" w:pos="429"/>
        <w:tab w:val="center" w:pos="4252"/>
        <w:tab w:val="right" w:pos="8504"/>
        <w:tab w:val="right" w:pos="9674"/>
      </w:tabs>
      <w:spacing w:before="60" w:line="360" w:lineRule="auto"/>
      <w:ind w:left="-96" w:firstLine="11"/>
      <w:jc w:val="both"/>
    </w:pPr>
    <w:rPr>
      <w:rFonts w:ascii="Times New Roman" w:eastAsia="Cambria" w:hAnsi="Times New Roman" w:cs="Times New Roman"/>
      <w:sz w:val="16"/>
      <w:szCs w:val="24"/>
      <w:lang w:val="gl-ES"/>
    </w:rPr>
  </w:style>
  <w:style w:type="paragraph" w:customStyle="1" w:styleId="Nomegoberno">
    <w:name w:val="Nome_goberno"/>
    <w:basedOn w:val="Normal"/>
    <w:autoRedefine/>
    <w:rsid w:val="00453EDA"/>
    <w:pPr>
      <w:tabs>
        <w:tab w:val="left" w:pos="429"/>
        <w:tab w:val="center" w:pos="4252"/>
        <w:tab w:val="right" w:pos="9674"/>
      </w:tabs>
      <w:spacing w:before="60" w:line="360" w:lineRule="auto"/>
      <w:ind w:left="-108" w:hanging="4"/>
      <w:contextualSpacing/>
      <w:jc w:val="both"/>
    </w:pPr>
    <w:rPr>
      <w:rFonts w:ascii="ITC New Baskerville Std" w:eastAsia="Cambria" w:hAnsi="ITC New Baskerville Std" w:cs="Cambria Math"/>
      <w:color w:val="857040"/>
      <w:spacing w:val="-8"/>
      <w:position w:val="4"/>
      <w:sz w:val="20"/>
      <w:szCs w:val="20"/>
      <w:lang w:val="gl-ES"/>
    </w:rPr>
  </w:style>
  <w:style w:type="character" w:customStyle="1" w:styleId="EnderezoCar">
    <w:name w:val="Enderezo Car"/>
    <w:link w:val="Enderezo"/>
    <w:rsid w:val="00453EDA"/>
    <w:rPr>
      <w:rFonts w:ascii="Times New Roman" w:eastAsia="Cambria" w:hAnsi="Times New Roman" w:cs="Times New Roman"/>
      <w:sz w:val="16"/>
      <w:szCs w:val="24"/>
      <w:lang w:val="gl-ES"/>
    </w:rPr>
  </w:style>
  <w:style w:type="paragraph" w:customStyle="1" w:styleId="logo">
    <w:name w:val="logo"/>
    <w:basedOn w:val="Normal"/>
    <w:autoRedefine/>
    <w:rsid w:val="00453EDA"/>
    <w:pPr>
      <w:tabs>
        <w:tab w:val="left" w:pos="429"/>
      </w:tabs>
      <w:spacing w:before="60" w:line="360" w:lineRule="auto"/>
      <w:jc w:val="both"/>
    </w:pPr>
    <w:rPr>
      <w:rFonts w:ascii="ITC New Baskerville Std" w:eastAsia="Cambria" w:hAnsi="ITC New Baskerville Std" w:cs="Cambria Math"/>
      <w:sz w:val="20"/>
      <w:szCs w:val="20"/>
      <w:lang w:val="gl-ES"/>
    </w:rPr>
  </w:style>
  <w:style w:type="paragraph" w:styleId="Textodeglobo">
    <w:name w:val="Balloon Text"/>
    <w:basedOn w:val="Normal"/>
    <w:link w:val="TextodegloboCar"/>
    <w:uiPriority w:val="99"/>
    <w:semiHidden/>
    <w:unhideWhenUsed/>
    <w:rsid w:val="00E27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D52"/>
    <w:rPr>
      <w:rFonts w:ascii="Tahoma" w:hAnsi="Tahoma" w:cs="Tahoma"/>
      <w:sz w:val="16"/>
      <w:szCs w:val="16"/>
    </w:rPr>
  </w:style>
  <w:style w:type="paragraph" w:customStyle="1" w:styleId="Estndar">
    <w:name w:val="Estándar"/>
    <w:rsid w:val="00A203F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s-ES_tradnl" w:eastAsia="es-ES"/>
    </w:rPr>
  </w:style>
  <w:style w:type="paragraph" w:styleId="Prrafodelista">
    <w:name w:val="List Paragraph"/>
    <w:basedOn w:val="Normal"/>
    <w:uiPriority w:val="34"/>
    <w:qFormat/>
    <w:rsid w:val="00583CB6"/>
    <w:pPr>
      <w:ind w:left="720"/>
      <w:contextualSpacing/>
    </w:pPr>
  </w:style>
  <w:style w:type="character" w:styleId="Hipervnculo">
    <w:name w:val="Hyperlink"/>
    <w:basedOn w:val="Fuentedeprrafopredeter"/>
    <w:uiPriority w:val="99"/>
    <w:semiHidden/>
    <w:unhideWhenUsed/>
    <w:rsid w:val="00674FBF"/>
    <w:rPr>
      <w:color w:val="0000FF" w:themeColor="hyperlink"/>
      <w:u w:val="single"/>
    </w:rPr>
  </w:style>
  <w:style w:type="paragraph" w:styleId="Textonotapie">
    <w:name w:val="footnote text"/>
    <w:basedOn w:val="Normal"/>
    <w:link w:val="TextonotapieCar"/>
    <w:uiPriority w:val="99"/>
    <w:semiHidden/>
    <w:unhideWhenUsed/>
    <w:rsid w:val="00674FBF"/>
    <w:pPr>
      <w:spacing w:after="0" w:line="240" w:lineRule="auto"/>
    </w:pPr>
    <w:rPr>
      <w:sz w:val="20"/>
      <w:szCs w:val="20"/>
      <w:lang w:val="gl-ES"/>
    </w:rPr>
  </w:style>
  <w:style w:type="character" w:customStyle="1" w:styleId="TextonotapieCar">
    <w:name w:val="Texto nota pie Car"/>
    <w:basedOn w:val="Fuentedeprrafopredeter"/>
    <w:link w:val="Textonotapie"/>
    <w:uiPriority w:val="99"/>
    <w:semiHidden/>
    <w:rsid w:val="00674FBF"/>
    <w:rPr>
      <w:sz w:val="20"/>
      <w:szCs w:val="20"/>
      <w:lang w:val="gl-ES"/>
    </w:rPr>
  </w:style>
  <w:style w:type="character" w:styleId="Refdenotaalpie">
    <w:name w:val="footnote reference"/>
    <w:basedOn w:val="Fuentedeprrafopredeter"/>
    <w:uiPriority w:val="99"/>
    <w:semiHidden/>
    <w:unhideWhenUsed/>
    <w:rsid w:val="00674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8250">
      <w:bodyDiv w:val="1"/>
      <w:marLeft w:val="0"/>
      <w:marRight w:val="0"/>
      <w:marTop w:val="0"/>
      <w:marBottom w:val="0"/>
      <w:divBdr>
        <w:top w:val="none" w:sz="0" w:space="0" w:color="auto"/>
        <w:left w:val="none" w:sz="0" w:space="0" w:color="auto"/>
        <w:bottom w:val="none" w:sz="0" w:space="0" w:color="auto"/>
        <w:right w:val="none" w:sz="0" w:space="0" w:color="auto"/>
      </w:divBdr>
      <w:divsChild>
        <w:div w:id="827137014">
          <w:marLeft w:val="0"/>
          <w:marRight w:val="0"/>
          <w:marTop w:val="0"/>
          <w:marBottom w:val="0"/>
          <w:divBdr>
            <w:top w:val="none" w:sz="0" w:space="0" w:color="auto"/>
            <w:left w:val="none" w:sz="0" w:space="0" w:color="auto"/>
            <w:bottom w:val="none" w:sz="0" w:space="0" w:color="auto"/>
            <w:right w:val="none" w:sz="0" w:space="0" w:color="auto"/>
          </w:divBdr>
        </w:div>
      </w:divsChild>
    </w:div>
    <w:div w:id="325598493">
      <w:bodyDiv w:val="1"/>
      <w:marLeft w:val="0"/>
      <w:marRight w:val="0"/>
      <w:marTop w:val="0"/>
      <w:marBottom w:val="0"/>
      <w:divBdr>
        <w:top w:val="none" w:sz="0" w:space="0" w:color="auto"/>
        <w:left w:val="none" w:sz="0" w:space="0" w:color="auto"/>
        <w:bottom w:val="none" w:sz="0" w:space="0" w:color="auto"/>
        <w:right w:val="none" w:sz="0" w:space="0" w:color="auto"/>
      </w:divBdr>
      <w:divsChild>
        <w:div w:id="1691377041">
          <w:marLeft w:val="0"/>
          <w:marRight w:val="0"/>
          <w:marTop w:val="0"/>
          <w:marBottom w:val="0"/>
          <w:divBdr>
            <w:top w:val="none" w:sz="0" w:space="0" w:color="auto"/>
            <w:left w:val="none" w:sz="0" w:space="0" w:color="auto"/>
            <w:bottom w:val="none" w:sz="0" w:space="0" w:color="auto"/>
            <w:right w:val="none" w:sz="0" w:space="0" w:color="auto"/>
          </w:divBdr>
        </w:div>
      </w:divsChild>
    </w:div>
    <w:div w:id="378286657">
      <w:bodyDiv w:val="1"/>
      <w:marLeft w:val="0"/>
      <w:marRight w:val="0"/>
      <w:marTop w:val="0"/>
      <w:marBottom w:val="0"/>
      <w:divBdr>
        <w:top w:val="none" w:sz="0" w:space="0" w:color="auto"/>
        <w:left w:val="none" w:sz="0" w:space="0" w:color="auto"/>
        <w:bottom w:val="none" w:sz="0" w:space="0" w:color="auto"/>
        <w:right w:val="none" w:sz="0" w:space="0" w:color="auto"/>
      </w:divBdr>
    </w:div>
    <w:div w:id="428624272">
      <w:bodyDiv w:val="1"/>
      <w:marLeft w:val="0"/>
      <w:marRight w:val="0"/>
      <w:marTop w:val="0"/>
      <w:marBottom w:val="0"/>
      <w:divBdr>
        <w:top w:val="none" w:sz="0" w:space="0" w:color="auto"/>
        <w:left w:val="none" w:sz="0" w:space="0" w:color="auto"/>
        <w:bottom w:val="none" w:sz="0" w:space="0" w:color="auto"/>
        <w:right w:val="none" w:sz="0" w:space="0" w:color="auto"/>
      </w:divBdr>
    </w:div>
    <w:div w:id="563223804">
      <w:bodyDiv w:val="1"/>
      <w:marLeft w:val="0"/>
      <w:marRight w:val="0"/>
      <w:marTop w:val="0"/>
      <w:marBottom w:val="0"/>
      <w:divBdr>
        <w:top w:val="none" w:sz="0" w:space="0" w:color="auto"/>
        <w:left w:val="none" w:sz="0" w:space="0" w:color="auto"/>
        <w:bottom w:val="none" w:sz="0" w:space="0" w:color="auto"/>
        <w:right w:val="none" w:sz="0" w:space="0" w:color="auto"/>
      </w:divBdr>
      <w:divsChild>
        <w:div w:id="1529682673">
          <w:marLeft w:val="0"/>
          <w:marRight w:val="0"/>
          <w:marTop w:val="0"/>
          <w:marBottom w:val="0"/>
          <w:divBdr>
            <w:top w:val="none" w:sz="0" w:space="0" w:color="auto"/>
            <w:left w:val="none" w:sz="0" w:space="0" w:color="auto"/>
            <w:bottom w:val="none" w:sz="0" w:space="0" w:color="auto"/>
            <w:right w:val="none" w:sz="0" w:space="0" w:color="auto"/>
          </w:divBdr>
        </w:div>
      </w:divsChild>
    </w:div>
    <w:div w:id="647514779">
      <w:bodyDiv w:val="1"/>
      <w:marLeft w:val="0"/>
      <w:marRight w:val="0"/>
      <w:marTop w:val="0"/>
      <w:marBottom w:val="0"/>
      <w:divBdr>
        <w:top w:val="none" w:sz="0" w:space="0" w:color="auto"/>
        <w:left w:val="none" w:sz="0" w:space="0" w:color="auto"/>
        <w:bottom w:val="none" w:sz="0" w:space="0" w:color="auto"/>
        <w:right w:val="none" w:sz="0" w:space="0" w:color="auto"/>
      </w:divBdr>
      <w:divsChild>
        <w:div w:id="974871996">
          <w:marLeft w:val="0"/>
          <w:marRight w:val="0"/>
          <w:marTop w:val="0"/>
          <w:marBottom w:val="0"/>
          <w:divBdr>
            <w:top w:val="none" w:sz="0" w:space="0" w:color="auto"/>
            <w:left w:val="none" w:sz="0" w:space="0" w:color="auto"/>
            <w:bottom w:val="none" w:sz="0" w:space="0" w:color="auto"/>
            <w:right w:val="none" w:sz="0" w:space="0" w:color="auto"/>
          </w:divBdr>
        </w:div>
      </w:divsChild>
    </w:div>
    <w:div w:id="771784382">
      <w:bodyDiv w:val="1"/>
      <w:marLeft w:val="0"/>
      <w:marRight w:val="0"/>
      <w:marTop w:val="0"/>
      <w:marBottom w:val="0"/>
      <w:divBdr>
        <w:top w:val="none" w:sz="0" w:space="0" w:color="auto"/>
        <w:left w:val="none" w:sz="0" w:space="0" w:color="auto"/>
        <w:bottom w:val="none" w:sz="0" w:space="0" w:color="auto"/>
        <w:right w:val="none" w:sz="0" w:space="0" w:color="auto"/>
      </w:divBdr>
    </w:div>
    <w:div w:id="906888690">
      <w:bodyDiv w:val="1"/>
      <w:marLeft w:val="0"/>
      <w:marRight w:val="0"/>
      <w:marTop w:val="0"/>
      <w:marBottom w:val="0"/>
      <w:divBdr>
        <w:top w:val="none" w:sz="0" w:space="0" w:color="auto"/>
        <w:left w:val="none" w:sz="0" w:space="0" w:color="auto"/>
        <w:bottom w:val="none" w:sz="0" w:space="0" w:color="auto"/>
        <w:right w:val="none" w:sz="0" w:space="0" w:color="auto"/>
      </w:divBdr>
      <w:divsChild>
        <w:div w:id="879054564">
          <w:marLeft w:val="0"/>
          <w:marRight w:val="0"/>
          <w:marTop w:val="0"/>
          <w:marBottom w:val="0"/>
          <w:divBdr>
            <w:top w:val="none" w:sz="0" w:space="0" w:color="auto"/>
            <w:left w:val="none" w:sz="0" w:space="0" w:color="auto"/>
            <w:bottom w:val="none" w:sz="0" w:space="0" w:color="auto"/>
            <w:right w:val="none" w:sz="0" w:space="0" w:color="auto"/>
          </w:divBdr>
        </w:div>
      </w:divsChild>
    </w:div>
    <w:div w:id="920066069">
      <w:bodyDiv w:val="1"/>
      <w:marLeft w:val="0"/>
      <w:marRight w:val="0"/>
      <w:marTop w:val="0"/>
      <w:marBottom w:val="0"/>
      <w:divBdr>
        <w:top w:val="none" w:sz="0" w:space="0" w:color="auto"/>
        <w:left w:val="none" w:sz="0" w:space="0" w:color="auto"/>
        <w:bottom w:val="none" w:sz="0" w:space="0" w:color="auto"/>
        <w:right w:val="none" w:sz="0" w:space="0" w:color="auto"/>
      </w:divBdr>
      <w:divsChild>
        <w:div w:id="899948015">
          <w:marLeft w:val="0"/>
          <w:marRight w:val="0"/>
          <w:marTop w:val="0"/>
          <w:marBottom w:val="0"/>
          <w:divBdr>
            <w:top w:val="none" w:sz="0" w:space="0" w:color="auto"/>
            <w:left w:val="none" w:sz="0" w:space="0" w:color="auto"/>
            <w:bottom w:val="none" w:sz="0" w:space="0" w:color="auto"/>
            <w:right w:val="none" w:sz="0" w:space="0" w:color="auto"/>
          </w:divBdr>
        </w:div>
      </w:divsChild>
    </w:div>
    <w:div w:id="973943191">
      <w:bodyDiv w:val="1"/>
      <w:marLeft w:val="0"/>
      <w:marRight w:val="0"/>
      <w:marTop w:val="0"/>
      <w:marBottom w:val="0"/>
      <w:divBdr>
        <w:top w:val="none" w:sz="0" w:space="0" w:color="auto"/>
        <w:left w:val="none" w:sz="0" w:space="0" w:color="auto"/>
        <w:bottom w:val="none" w:sz="0" w:space="0" w:color="auto"/>
        <w:right w:val="none" w:sz="0" w:space="0" w:color="auto"/>
      </w:divBdr>
      <w:divsChild>
        <w:div w:id="1044211249">
          <w:marLeft w:val="0"/>
          <w:marRight w:val="0"/>
          <w:marTop w:val="0"/>
          <w:marBottom w:val="0"/>
          <w:divBdr>
            <w:top w:val="none" w:sz="0" w:space="0" w:color="auto"/>
            <w:left w:val="none" w:sz="0" w:space="0" w:color="auto"/>
            <w:bottom w:val="none" w:sz="0" w:space="0" w:color="auto"/>
            <w:right w:val="none" w:sz="0" w:space="0" w:color="auto"/>
          </w:divBdr>
        </w:div>
      </w:divsChild>
    </w:div>
    <w:div w:id="1017266345">
      <w:bodyDiv w:val="1"/>
      <w:marLeft w:val="0"/>
      <w:marRight w:val="0"/>
      <w:marTop w:val="0"/>
      <w:marBottom w:val="0"/>
      <w:divBdr>
        <w:top w:val="none" w:sz="0" w:space="0" w:color="auto"/>
        <w:left w:val="none" w:sz="0" w:space="0" w:color="auto"/>
        <w:bottom w:val="none" w:sz="0" w:space="0" w:color="auto"/>
        <w:right w:val="none" w:sz="0" w:space="0" w:color="auto"/>
      </w:divBdr>
      <w:divsChild>
        <w:div w:id="469131128">
          <w:marLeft w:val="0"/>
          <w:marRight w:val="0"/>
          <w:marTop w:val="0"/>
          <w:marBottom w:val="0"/>
          <w:divBdr>
            <w:top w:val="none" w:sz="0" w:space="0" w:color="auto"/>
            <w:left w:val="none" w:sz="0" w:space="0" w:color="auto"/>
            <w:bottom w:val="none" w:sz="0" w:space="0" w:color="auto"/>
            <w:right w:val="none" w:sz="0" w:space="0" w:color="auto"/>
          </w:divBdr>
        </w:div>
      </w:divsChild>
    </w:div>
    <w:div w:id="1227953243">
      <w:bodyDiv w:val="1"/>
      <w:marLeft w:val="0"/>
      <w:marRight w:val="0"/>
      <w:marTop w:val="0"/>
      <w:marBottom w:val="0"/>
      <w:divBdr>
        <w:top w:val="none" w:sz="0" w:space="0" w:color="auto"/>
        <w:left w:val="none" w:sz="0" w:space="0" w:color="auto"/>
        <w:bottom w:val="none" w:sz="0" w:space="0" w:color="auto"/>
        <w:right w:val="none" w:sz="0" w:space="0" w:color="auto"/>
      </w:divBdr>
      <w:divsChild>
        <w:div w:id="891884485">
          <w:marLeft w:val="0"/>
          <w:marRight w:val="0"/>
          <w:marTop w:val="0"/>
          <w:marBottom w:val="0"/>
          <w:divBdr>
            <w:top w:val="none" w:sz="0" w:space="0" w:color="auto"/>
            <w:left w:val="none" w:sz="0" w:space="0" w:color="auto"/>
            <w:bottom w:val="none" w:sz="0" w:space="0" w:color="auto"/>
            <w:right w:val="none" w:sz="0" w:space="0" w:color="auto"/>
          </w:divBdr>
        </w:div>
      </w:divsChild>
    </w:div>
    <w:div w:id="1280915038">
      <w:bodyDiv w:val="1"/>
      <w:marLeft w:val="0"/>
      <w:marRight w:val="0"/>
      <w:marTop w:val="0"/>
      <w:marBottom w:val="0"/>
      <w:divBdr>
        <w:top w:val="none" w:sz="0" w:space="0" w:color="auto"/>
        <w:left w:val="none" w:sz="0" w:space="0" w:color="auto"/>
        <w:bottom w:val="none" w:sz="0" w:space="0" w:color="auto"/>
        <w:right w:val="none" w:sz="0" w:space="0" w:color="auto"/>
      </w:divBdr>
    </w:div>
    <w:div w:id="1315715880">
      <w:bodyDiv w:val="1"/>
      <w:marLeft w:val="0"/>
      <w:marRight w:val="0"/>
      <w:marTop w:val="0"/>
      <w:marBottom w:val="0"/>
      <w:divBdr>
        <w:top w:val="none" w:sz="0" w:space="0" w:color="auto"/>
        <w:left w:val="none" w:sz="0" w:space="0" w:color="auto"/>
        <w:bottom w:val="none" w:sz="0" w:space="0" w:color="auto"/>
        <w:right w:val="none" w:sz="0" w:space="0" w:color="auto"/>
      </w:divBdr>
      <w:divsChild>
        <w:div w:id="1591043511">
          <w:marLeft w:val="0"/>
          <w:marRight w:val="0"/>
          <w:marTop w:val="0"/>
          <w:marBottom w:val="0"/>
          <w:divBdr>
            <w:top w:val="none" w:sz="0" w:space="0" w:color="auto"/>
            <w:left w:val="none" w:sz="0" w:space="0" w:color="auto"/>
            <w:bottom w:val="none" w:sz="0" w:space="0" w:color="auto"/>
            <w:right w:val="none" w:sz="0" w:space="0" w:color="auto"/>
          </w:divBdr>
        </w:div>
      </w:divsChild>
    </w:div>
    <w:div w:id="1588465333">
      <w:bodyDiv w:val="1"/>
      <w:marLeft w:val="0"/>
      <w:marRight w:val="0"/>
      <w:marTop w:val="0"/>
      <w:marBottom w:val="0"/>
      <w:divBdr>
        <w:top w:val="none" w:sz="0" w:space="0" w:color="auto"/>
        <w:left w:val="none" w:sz="0" w:space="0" w:color="auto"/>
        <w:bottom w:val="none" w:sz="0" w:space="0" w:color="auto"/>
        <w:right w:val="none" w:sz="0" w:space="0" w:color="auto"/>
      </w:divBdr>
      <w:divsChild>
        <w:div w:id="1470440463">
          <w:marLeft w:val="0"/>
          <w:marRight w:val="0"/>
          <w:marTop w:val="0"/>
          <w:marBottom w:val="0"/>
          <w:divBdr>
            <w:top w:val="none" w:sz="0" w:space="0" w:color="auto"/>
            <w:left w:val="none" w:sz="0" w:space="0" w:color="auto"/>
            <w:bottom w:val="none" w:sz="0" w:space="0" w:color="auto"/>
            <w:right w:val="none" w:sz="0" w:space="0" w:color="auto"/>
          </w:divBdr>
        </w:div>
      </w:divsChild>
    </w:div>
    <w:div w:id="1588877559">
      <w:bodyDiv w:val="1"/>
      <w:marLeft w:val="0"/>
      <w:marRight w:val="0"/>
      <w:marTop w:val="0"/>
      <w:marBottom w:val="0"/>
      <w:divBdr>
        <w:top w:val="none" w:sz="0" w:space="0" w:color="auto"/>
        <w:left w:val="none" w:sz="0" w:space="0" w:color="auto"/>
        <w:bottom w:val="none" w:sz="0" w:space="0" w:color="auto"/>
        <w:right w:val="none" w:sz="0" w:space="0" w:color="auto"/>
      </w:divBdr>
      <w:divsChild>
        <w:div w:id="253979904">
          <w:marLeft w:val="0"/>
          <w:marRight w:val="0"/>
          <w:marTop w:val="0"/>
          <w:marBottom w:val="0"/>
          <w:divBdr>
            <w:top w:val="none" w:sz="0" w:space="0" w:color="auto"/>
            <w:left w:val="none" w:sz="0" w:space="0" w:color="auto"/>
            <w:bottom w:val="none" w:sz="0" w:space="0" w:color="auto"/>
            <w:right w:val="none" w:sz="0" w:space="0" w:color="auto"/>
          </w:divBdr>
        </w:div>
      </w:divsChild>
    </w:div>
    <w:div w:id="1657227249">
      <w:bodyDiv w:val="1"/>
      <w:marLeft w:val="0"/>
      <w:marRight w:val="0"/>
      <w:marTop w:val="0"/>
      <w:marBottom w:val="0"/>
      <w:divBdr>
        <w:top w:val="none" w:sz="0" w:space="0" w:color="auto"/>
        <w:left w:val="none" w:sz="0" w:space="0" w:color="auto"/>
        <w:bottom w:val="none" w:sz="0" w:space="0" w:color="auto"/>
        <w:right w:val="none" w:sz="0" w:space="0" w:color="auto"/>
      </w:divBdr>
      <w:divsChild>
        <w:div w:id="1965965378">
          <w:marLeft w:val="0"/>
          <w:marRight w:val="0"/>
          <w:marTop w:val="0"/>
          <w:marBottom w:val="0"/>
          <w:divBdr>
            <w:top w:val="none" w:sz="0" w:space="0" w:color="auto"/>
            <w:left w:val="none" w:sz="0" w:space="0" w:color="auto"/>
            <w:bottom w:val="none" w:sz="0" w:space="0" w:color="auto"/>
            <w:right w:val="none" w:sz="0" w:space="0" w:color="auto"/>
          </w:divBdr>
        </w:div>
      </w:divsChild>
    </w:div>
    <w:div w:id="1681202493">
      <w:bodyDiv w:val="1"/>
      <w:marLeft w:val="0"/>
      <w:marRight w:val="0"/>
      <w:marTop w:val="0"/>
      <w:marBottom w:val="0"/>
      <w:divBdr>
        <w:top w:val="none" w:sz="0" w:space="0" w:color="auto"/>
        <w:left w:val="none" w:sz="0" w:space="0" w:color="auto"/>
        <w:bottom w:val="none" w:sz="0" w:space="0" w:color="auto"/>
        <w:right w:val="none" w:sz="0" w:space="0" w:color="auto"/>
      </w:divBdr>
    </w:div>
    <w:div w:id="1888488266">
      <w:bodyDiv w:val="1"/>
      <w:marLeft w:val="0"/>
      <w:marRight w:val="0"/>
      <w:marTop w:val="0"/>
      <w:marBottom w:val="0"/>
      <w:divBdr>
        <w:top w:val="none" w:sz="0" w:space="0" w:color="auto"/>
        <w:left w:val="none" w:sz="0" w:space="0" w:color="auto"/>
        <w:bottom w:val="none" w:sz="0" w:space="0" w:color="auto"/>
        <w:right w:val="none" w:sz="0" w:space="0" w:color="auto"/>
      </w:divBdr>
    </w:div>
    <w:div w:id="2090232009">
      <w:bodyDiv w:val="1"/>
      <w:marLeft w:val="0"/>
      <w:marRight w:val="0"/>
      <w:marTop w:val="0"/>
      <w:marBottom w:val="0"/>
      <w:divBdr>
        <w:top w:val="none" w:sz="0" w:space="0" w:color="auto"/>
        <w:left w:val="none" w:sz="0" w:space="0" w:color="auto"/>
        <w:bottom w:val="none" w:sz="0" w:space="0" w:color="auto"/>
        <w:right w:val="none" w:sz="0" w:space="0" w:color="auto"/>
      </w:divBdr>
      <w:divsChild>
        <w:div w:id="1352992131">
          <w:marLeft w:val="0"/>
          <w:marRight w:val="0"/>
          <w:marTop w:val="0"/>
          <w:marBottom w:val="0"/>
          <w:divBdr>
            <w:top w:val="none" w:sz="0" w:space="0" w:color="auto"/>
            <w:left w:val="none" w:sz="0" w:space="0" w:color="auto"/>
            <w:bottom w:val="none" w:sz="0" w:space="0" w:color="auto"/>
            <w:right w:val="none" w:sz="0" w:space="0" w:color="auto"/>
          </w:divBdr>
        </w:div>
      </w:divsChild>
    </w:div>
    <w:div w:id="2115516365">
      <w:bodyDiv w:val="1"/>
      <w:marLeft w:val="0"/>
      <w:marRight w:val="0"/>
      <w:marTop w:val="0"/>
      <w:marBottom w:val="0"/>
      <w:divBdr>
        <w:top w:val="none" w:sz="0" w:space="0" w:color="auto"/>
        <w:left w:val="none" w:sz="0" w:space="0" w:color="auto"/>
        <w:bottom w:val="none" w:sz="0" w:space="0" w:color="auto"/>
        <w:right w:val="none" w:sz="0" w:space="0" w:color="auto"/>
      </w:divBdr>
      <w:divsChild>
        <w:div w:id="56973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reglamento/cumplimiento/transferencias-internaciona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A08E-D5FC-4CD3-9410-9484F470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3562</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SXERAL01</dc:creator>
  <cp:lastModifiedBy>sxeral04</cp:lastModifiedBy>
  <cp:revision>10</cp:revision>
  <cp:lastPrinted>2013-10-23T09:24:00Z</cp:lastPrinted>
  <dcterms:created xsi:type="dcterms:W3CDTF">2018-07-17T09:40:00Z</dcterms:created>
  <dcterms:modified xsi:type="dcterms:W3CDTF">2019-11-15T09:07:00Z</dcterms:modified>
</cp:coreProperties>
</file>