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A2F5" w14:textId="016896C3" w:rsidR="00D564DC" w:rsidRPr="00215426" w:rsidRDefault="0063066E" w:rsidP="00FE368D">
      <w:pPr>
        <w:pStyle w:val="Ttulo1"/>
        <w:tabs>
          <w:tab w:val="left" w:pos="10348"/>
        </w:tabs>
        <w:spacing w:before="120" w:after="120" w:line="360" w:lineRule="auto"/>
        <w:ind w:left="142" w:right="0"/>
        <w:jc w:val="both"/>
        <w:rPr>
          <w:rFonts w:ascii="New Baskerville" w:hAnsi="New Baskerville"/>
          <w:sz w:val="24"/>
          <w:lang w:val="en-GB"/>
        </w:rPr>
      </w:pPr>
      <w:r w:rsidRPr="00215426">
        <w:rPr>
          <w:rFonts w:ascii="New Baskerville" w:hAnsi="New Baskerville"/>
          <w:sz w:val="24"/>
          <w:lang w:val="en-GB"/>
        </w:rPr>
        <w:t>EDUCATIONAL COOPERATION AGREEMENT BETWEEN THE UNIVERSIDADE DE VIGO AND (</w:t>
      </w:r>
      <w:r w:rsidRPr="00215426">
        <w:rPr>
          <w:rFonts w:ascii="New Baskerville" w:hAnsi="New Baskerville"/>
          <w:b w:val="0"/>
          <w:bCs w:val="0"/>
          <w:i/>
          <w:iCs/>
          <w:sz w:val="24"/>
          <w:highlight w:val="lightGray"/>
          <w:lang w:val="en-GB"/>
        </w:rPr>
        <w:t>collaborating entity, company, institution</w:t>
      </w:r>
      <w:r w:rsidRPr="00215426">
        <w:rPr>
          <w:rFonts w:ascii="New Baskerville" w:hAnsi="New Baskerville"/>
          <w:sz w:val="24"/>
          <w:lang w:val="en-GB"/>
        </w:rPr>
        <w:t>) FOR THE EXECUTION OF STUDENTS EXTERNAL ACADEMIC PLACEMENTS</w:t>
      </w:r>
    </w:p>
    <w:p w14:paraId="64DB35B7" w14:textId="77777777" w:rsidR="007972C5" w:rsidRDefault="00E1344F" w:rsidP="00FE368D">
      <w:pPr>
        <w:pStyle w:val="Ttulo1"/>
        <w:tabs>
          <w:tab w:val="left" w:pos="9572"/>
        </w:tabs>
        <w:spacing w:before="120" w:after="120" w:line="360" w:lineRule="auto"/>
        <w:ind w:left="0" w:right="0"/>
        <w:jc w:val="left"/>
        <w:rPr>
          <w:rFonts w:ascii="New Baskerville" w:hAnsi="New Baskerville"/>
          <w:b w:val="0"/>
          <w:bCs w:val="0"/>
          <w:lang w:val="en-GB"/>
        </w:rPr>
      </w:pPr>
      <w:r w:rsidRPr="00215426">
        <w:rPr>
          <w:rFonts w:ascii="New Baskerville" w:hAnsi="New Baskerville"/>
          <w:b w:val="0"/>
          <w:bCs w:val="0"/>
          <w:lang w:val="en-GB"/>
        </w:rPr>
        <w:t xml:space="preserve">  </w:t>
      </w:r>
    </w:p>
    <w:p w14:paraId="5E09BB94" w14:textId="58663A66" w:rsidR="006B03C6" w:rsidRDefault="00E1344F" w:rsidP="00FE368D">
      <w:pPr>
        <w:pStyle w:val="Ttulo1"/>
        <w:tabs>
          <w:tab w:val="left" w:pos="9572"/>
        </w:tabs>
        <w:spacing w:before="120" w:after="120" w:line="360" w:lineRule="auto"/>
        <w:ind w:left="0" w:right="0"/>
        <w:jc w:val="left"/>
        <w:rPr>
          <w:rFonts w:ascii="New Baskerville" w:hAnsi="New Baskerville"/>
          <w:lang w:val="en-GB"/>
        </w:rPr>
      </w:pPr>
      <w:r w:rsidRPr="00215426">
        <w:rPr>
          <w:rFonts w:ascii="New Baskerville" w:hAnsi="New Baskerville"/>
          <w:lang w:val="en-GB"/>
        </w:rPr>
        <w:t xml:space="preserve"> </w:t>
      </w:r>
      <w:r w:rsidR="0063066E" w:rsidRPr="00215426">
        <w:rPr>
          <w:rFonts w:ascii="New Baskerville" w:hAnsi="New Baskerville"/>
          <w:lang w:val="en-GB"/>
        </w:rPr>
        <w:t xml:space="preserve">THE PARTIES </w:t>
      </w:r>
      <w:r w:rsidR="007972C5" w:rsidRPr="00215426">
        <w:rPr>
          <w:rFonts w:ascii="New Baskerville" w:hAnsi="New Baskerville"/>
          <w:lang w:val="en-GB"/>
        </w:rPr>
        <w:t>UNDERSIGNED</w:t>
      </w:r>
      <w:r w:rsidRPr="00215426">
        <w:rPr>
          <w:rFonts w:ascii="New Baskerville" w:hAnsi="New Baskerville"/>
          <w:lang w:val="en-GB"/>
        </w:rPr>
        <w:t>:</w:t>
      </w:r>
    </w:p>
    <w:p w14:paraId="5AEB8562" w14:textId="7D6EE779" w:rsidR="00B73323" w:rsidRPr="00215426" w:rsidRDefault="0063066E" w:rsidP="00FE368D">
      <w:pPr>
        <w:pStyle w:val="Textoindependiente"/>
        <w:spacing w:before="120" w:after="120" w:line="360" w:lineRule="auto"/>
        <w:ind w:right="103"/>
        <w:rPr>
          <w:rFonts w:ascii="New Baskerville" w:hAnsi="New Baskerville"/>
          <w:lang w:val="en-GB"/>
        </w:rPr>
      </w:pPr>
      <w:r w:rsidRPr="00215426">
        <w:rPr>
          <w:rFonts w:ascii="New Baskerville" w:hAnsi="New Baskerville"/>
          <w:lang w:val="en-GB"/>
        </w:rPr>
        <w:t>On the one party, Manuel Joaquín Reigosa Roger, Rector of the Universidade de Vigo, appointed according to the Decree of the autonomous community of Galicia 110/2022, of June 9, published in the Diario Oficial de Galicia (Official Journal of Galicia, or DOG) no. 117, of June 20 of 2022, in accordance with the competences granted under article 50 of the Organic Law 2/2023, of March 22, on university system, and article 29 of the Articles of the Universidade de Vigo, adopted by the Decree 13/2019, of January 24, and published in the DOG no. 38, of February 22, 2019.</w:t>
      </w:r>
    </w:p>
    <w:p w14:paraId="1F487C5A" w14:textId="249F6CEA" w:rsidR="0063066E" w:rsidRPr="00215426" w:rsidRDefault="0063066E" w:rsidP="00FE368D">
      <w:pPr>
        <w:pStyle w:val="Textoindependiente"/>
        <w:spacing w:before="120" w:after="120" w:line="360" w:lineRule="auto"/>
        <w:ind w:right="103"/>
        <w:rPr>
          <w:rFonts w:ascii="New Baskerville" w:hAnsi="New Baskerville"/>
          <w:lang w:val="en-GB"/>
        </w:rPr>
      </w:pPr>
      <w:r w:rsidRPr="00215426">
        <w:rPr>
          <w:rFonts w:ascii="New Baskerville" w:hAnsi="New Baskerville"/>
          <w:lang w:val="en-GB"/>
        </w:rPr>
        <w:t xml:space="preserve">And on the other party, </w:t>
      </w:r>
      <w:r w:rsidRPr="00215426">
        <w:rPr>
          <w:rFonts w:ascii="New Baskerville" w:hAnsi="New Baskerville"/>
          <w:highlight w:val="lightGray"/>
          <w:lang w:val="en-GB"/>
        </w:rPr>
        <w:t>_________________________________</w:t>
      </w:r>
      <w:r w:rsidRPr="00215426">
        <w:rPr>
          <w:rFonts w:ascii="New Baskerville" w:hAnsi="New Baskerville"/>
          <w:lang w:val="en-GB"/>
        </w:rPr>
        <w:t>, representing and acting on behalf of</w:t>
      </w:r>
      <w:r w:rsidR="00215426" w:rsidRPr="00215426">
        <w:rPr>
          <w:rFonts w:ascii="New Baskerville" w:hAnsi="New Baskerville"/>
          <w:bCs/>
          <w:lang w:val="en-GB"/>
        </w:rPr>
        <w:t xml:space="preserve">, </w:t>
      </w:r>
      <w:r w:rsidR="00215426" w:rsidRPr="00215426">
        <w:rPr>
          <w:rFonts w:ascii="New Baskerville" w:hAnsi="New Baskerville"/>
          <w:bCs/>
          <w:highlight w:val="lightGray"/>
          <w:lang w:val="en-GB"/>
        </w:rPr>
        <w:t>_______________________________ (</w:t>
      </w:r>
      <w:r w:rsidR="00215426" w:rsidRPr="00215426">
        <w:rPr>
          <w:rFonts w:ascii="New Baskerville" w:hAnsi="New Baskerville"/>
          <w:bCs/>
          <w:i/>
          <w:iCs/>
          <w:highlight w:val="lightGray"/>
          <w:lang w:val="en-GB"/>
        </w:rPr>
        <w:t>collaborating entity, company, institution</w:t>
      </w:r>
      <w:r w:rsidR="00215426" w:rsidRPr="00215426">
        <w:rPr>
          <w:rFonts w:ascii="New Baskerville" w:hAnsi="New Baskerville"/>
          <w:bCs/>
          <w:highlight w:val="lightGray"/>
          <w:lang w:val="en-GB"/>
        </w:rPr>
        <w:t>)</w:t>
      </w:r>
      <w:r w:rsidRPr="00215426">
        <w:rPr>
          <w:rFonts w:ascii="New Baskerville" w:hAnsi="New Baskerville"/>
          <w:lang w:val="en-GB"/>
        </w:rPr>
        <w:t xml:space="preserve">, located in </w:t>
      </w:r>
      <w:r w:rsidRPr="00215426">
        <w:rPr>
          <w:rFonts w:ascii="New Baskerville" w:hAnsi="New Baskerville"/>
          <w:highlight w:val="lightGray"/>
          <w:lang w:val="en-GB"/>
        </w:rPr>
        <w:t>_______________________________________</w:t>
      </w:r>
      <w:r w:rsidRPr="00215426">
        <w:rPr>
          <w:rFonts w:ascii="New Baskerville" w:hAnsi="New Baskerville"/>
          <w:lang w:val="en-GB"/>
        </w:rPr>
        <w:t xml:space="preserve"> and ID </w:t>
      </w:r>
      <w:r w:rsidRPr="00215426">
        <w:rPr>
          <w:rFonts w:ascii="New Baskerville" w:hAnsi="New Baskerville"/>
          <w:highlight w:val="lightGray"/>
          <w:lang w:val="en-GB"/>
        </w:rPr>
        <w:t>____________________</w:t>
      </w:r>
      <w:r w:rsidR="00215426">
        <w:rPr>
          <w:rFonts w:ascii="New Baskerville" w:hAnsi="New Baskerville"/>
          <w:lang w:val="en-GB"/>
        </w:rPr>
        <w:t>.</w:t>
      </w:r>
    </w:p>
    <w:p w14:paraId="46E50AFC" w14:textId="3AD743F7" w:rsidR="0063066E" w:rsidRPr="00215426" w:rsidRDefault="0063066E" w:rsidP="00FE368D">
      <w:pPr>
        <w:pStyle w:val="Textoindependiente"/>
        <w:spacing w:before="120" w:after="120" w:line="360" w:lineRule="auto"/>
        <w:ind w:right="103"/>
        <w:rPr>
          <w:rFonts w:ascii="New Baskerville" w:hAnsi="New Baskerville"/>
          <w:lang w:val="en-GB"/>
        </w:rPr>
      </w:pPr>
      <w:r w:rsidRPr="00215426">
        <w:rPr>
          <w:rFonts w:ascii="New Baskerville" w:hAnsi="New Baskerville"/>
          <w:lang w:val="en-GB"/>
        </w:rPr>
        <w:t>Both parties mutually recognise their legal capacity to sign the present agreement and</w:t>
      </w:r>
    </w:p>
    <w:p w14:paraId="09297762" w14:textId="79682BD0" w:rsidR="006B03C6" w:rsidRPr="00215426" w:rsidRDefault="00CC3638" w:rsidP="00FE368D">
      <w:pPr>
        <w:pStyle w:val="Ttulo1"/>
        <w:spacing w:before="120" w:after="120" w:line="360" w:lineRule="auto"/>
        <w:ind w:left="0"/>
        <w:jc w:val="left"/>
        <w:rPr>
          <w:rFonts w:ascii="New Baskerville" w:hAnsi="New Baskerville"/>
          <w:bCs w:val="0"/>
          <w:lang w:val="en-GB"/>
        </w:rPr>
      </w:pPr>
      <w:r w:rsidRPr="00215426">
        <w:rPr>
          <w:rFonts w:ascii="New Baskerville" w:hAnsi="New Baskerville"/>
          <w:b w:val="0"/>
          <w:bCs w:val="0"/>
          <w:lang w:val="en-GB"/>
        </w:rPr>
        <w:t xml:space="preserve">  </w:t>
      </w:r>
      <w:r w:rsidR="0063066E" w:rsidRPr="00215426">
        <w:rPr>
          <w:rFonts w:ascii="New Baskerville" w:hAnsi="New Baskerville"/>
          <w:bCs w:val="0"/>
          <w:lang w:val="en-GB"/>
        </w:rPr>
        <w:t xml:space="preserve">Therefore, they </w:t>
      </w:r>
      <w:r w:rsidR="00264939" w:rsidRPr="00215426">
        <w:rPr>
          <w:rFonts w:ascii="New Baskerville" w:hAnsi="New Baskerville"/>
          <w:bCs w:val="0"/>
          <w:lang w:val="en-GB"/>
        </w:rPr>
        <w:t>declare:</w:t>
      </w:r>
    </w:p>
    <w:p w14:paraId="2F1CB200" w14:textId="77777777" w:rsidR="0063066E" w:rsidRPr="00215426" w:rsidRDefault="0063066E" w:rsidP="00FE368D">
      <w:pPr>
        <w:pStyle w:val="Textoindependiente"/>
        <w:tabs>
          <w:tab w:val="left" w:pos="8786"/>
        </w:tabs>
        <w:spacing w:before="120" w:after="120" w:line="360" w:lineRule="auto"/>
        <w:ind w:right="103"/>
        <w:rPr>
          <w:rFonts w:ascii="New Baskerville" w:hAnsi="New Baskerville"/>
          <w:lang w:val="en-GB"/>
        </w:rPr>
      </w:pPr>
      <w:r w:rsidRPr="00215426">
        <w:rPr>
          <w:rFonts w:ascii="New Baskerville" w:hAnsi="New Baskerville"/>
          <w:lang w:val="en-GB"/>
        </w:rPr>
        <w:t xml:space="preserve">1- That the interest of both entities is to facilitate the preparation for the professional exercise of university students and their future labour insertion </w:t>
      </w:r>
    </w:p>
    <w:p w14:paraId="6DD3D2AA" w14:textId="452ECA89" w:rsidR="00B73323" w:rsidRPr="00215426" w:rsidRDefault="0063066E" w:rsidP="00FE368D">
      <w:pPr>
        <w:pStyle w:val="Textoindependiente"/>
        <w:tabs>
          <w:tab w:val="left" w:pos="8786"/>
        </w:tabs>
        <w:spacing w:before="120" w:after="120" w:line="360" w:lineRule="auto"/>
        <w:ind w:right="103"/>
        <w:rPr>
          <w:rFonts w:ascii="New Baskerville" w:hAnsi="New Baskerville"/>
          <w:lang w:val="en-GB"/>
        </w:rPr>
      </w:pPr>
      <w:r w:rsidRPr="00215426">
        <w:rPr>
          <w:rFonts w:ascii="New Baskerville" w:hAnsi="New Baskerville"/>
          <w:lang w:val="en-GB"/>
        </w:rPr>
        <w:t>2.- To this end, they agree to establish an educational cooperation agreement subject to the following</w:t>
      </w:r>
    </w:p>
    <w:p w14:paraId="7245C2FC" w14:textId="16A1B3A0" w:rsidR="006B03C6" w:rsidRPr="00215426" w:rsidRDefault="00CC3638" w:rsidP="00FE368D">
      <w:pPr>
        <w:pStyle w:val="Ttulo1"/>
        <w:spacing w:before="120" w:after="120" w:line="360" w:lineRule="auto"/>
        <w:ind w:left="0"/>
        <w:jc w:val="left"/>
        <w:rPr>
          <w:rFonts w:ascii="New Baskerville" w:hAnsi="New Baskerville"/>
          <w:bCs w:val="0"/>
          <w:lang w:val="en-GB"/>
        </w:rPr>
      </w:pPr>
      <w:r w:rsidRPr="00215426">
        <w:rPr>
          <w:rFonts w:ascii="New Baskerville" w:hAnsi="New Baskerville"/>
          <w:b w:val="0"/>
          <w:bCs w:val="0"/>
          <w:lang w:val="en-GB"/>
        </w:rPr>
        <w:t xml:space="preserve">  </w:t>
      </w:r>
      <w:r w:rsidR="008F2CB7" w:rsidRPr="00215426">
        <w:rPr>
          <w:rFonts w:ascii="New Baskerville" w:hAnsi="New Baskerville"/>
          <w:bCs w:val="0"/>
          <w:lang w:val="en-GB"/>
        </w:rPr>
        <w:t>CL</w:t>
      </w:r>
      <w:r w:rsidR="00215426">
        <w:rPr>
          <w:rFonts w:ascii="New Baskerville" w:hAnsi="New Baskerville"/>
          <w:bCs w:val="0"/>
          <w:lang w:val="en-GB"/>
        </w:rPr>
        <w:t>A</w:t>
      </w:r>
      <w:r w:rsidR="008F2CB7" w:rsidRPr="00215426">
        <w:rPr>
          <w:rFonts w:ascii="New Baskerville" w:hAnsi="New Baskerville"/>
          <w:bCs w:val="0"/>
          <w:lang w:val="en-GB"/>
        </w:rPr>
        <w:t>US</w:t>
      </w:r>
      <w:r w:rsidR="0063066E" w:rsidRPr="00215426">
        <w:rPr>
          <w:rFonts w:ascii="New Baskerville" w:hAnsi="New Baskerville"/>
          <w:bCs w:val="0"/>
          <w:lang w:val="en-GB"/>
        </w:rPr>
        <w:t>ES</w:t>
      </w:r>
    </w:p>
    <w:p w14:paraId="586A6D09" w14:textId="066B2AF5" w:rsidR="0063066E" w:rsidRPr="00313F9B" w:rsidRDefault="0063066E" w:rsidP="00FE368D">
      <w:pPr>
        <w:pStyle w:val="Ttulo2"/>
        <w:spacing w:before="120" w:line="360" w:lineRule="auto"/>
      </w:pPr>
      <w:r w:rsidRPr="00313F9B">
        <w:t xml:space="preserve">One.- Student reception </w:t>
      </w:r>
    </w:p>
    <w:p w14:paraId="79446642" w14:textId="30EBB1DF" w:rsidR="001B7F73" w:rsidRPr="00215426" w:rsidRDefault="0063066E" w:rsidP="00FE368D">
      <w:pPr>
        <w:pStyle w:val="Textoindependiente"/>
        <w:tabs>
          <w:tab w:val="left" w:pos="2202"/>
        </w:tabs>
        <w:spacing w:before="120" w:after="120" w:line="360" w:lineRule="auto"/>
        <w:ind w:left="108" w:right="102"/>
        <w:rPr>
          <w:rFonts w:ascii="New Baskerville" w:hAnsi="New Baskerville"/>
          <w:bCs/>
          <w:color w:val="000000" w:themeColor="text1"/>
          <w:lang w:val="en-GB"/>
        </w:rPr>
      </w:pPr>
      <w:r w:rsidRPr="00215426">
        <w:rPr>
          <w:rFonts w:ascii="New Baskerville" w:hAnsi="New Baskerville"/>
          <w:bCs/>
          <w:lang w:val="en-GB"/>
        </w:rPr>
        <w:t>While this agreement is in force</w:t>
      </w:r>
      <w:r w:rsidR="00ED6A76">
        <w:rPr>
          <w:rFonts w:ascii="New Baskerville" w:hAnsi="New Baskerville"/>
          <w:bCs/>
          <w:lang w:val="en-GB"/>
        </w:rPr>
        <w:t xml:space="preserve">, </w:t>
      </w:r>
      <w:r w:rsidR="00215426" w:rsidRPr="00215426">
        <w:rPr>
          <w:rFonts w:ascii="New Baskerville" w:hAnsi="New Baskerville"/>
          <w:bCs/>
          <w:highlight w:val="lightGray"/>
          <w:lang w:val="en-GB"/>
        </w:rPr>
        <w:t>_______________________________ (</w:t>
      </w:r>
      <w:r w:rsidR="00215426" w:rsidRPr="00215426">
        <w:rPr>
          <w:rFonts w:ascii="New Baskerville" w:hAnsi="New Baskerville"/>
          <w:bCs/>
          <w:i/>
          <w:iCs/>
          <w:highlight w:val="lightGray"/>
          <w:lang w:val="en-GB"/>
        </w:rPr>
        <w:t>collaborating entity, company, institution</w:t>
      </w:r>
      <w:r w:rsidR="00215426" w:rsidRPr="00215426">
        <w:rPr>
          <w:rFonts w:ascii="New Baskerville" w:hAnsi="New Baskerville"/>
          <w:bCs/>
          <w:highlight w:val="lightGray"/>
          <w:lang w:val="en-GB"/>
        </w:rPr>
        <w:t>)</w:t>
      </w:r>
      <w:r w:rsidRPr="00215426">
        <w:rPr>
          <w:rFonts w:ascii="New Baskerville" w:hAnsi="New Baskerville"/>
          <w:bCs/>
          <w:lang w:val="en-GB"/>
        </w:rPr>
        <w:t xml:space="preserve"> is willing to welcome students from the Universidade de Vigo to carry out external academic placements, without any obligation in this regard. The conditions of each placement will be included in an annex to this agreement which will include at least the data of the student, the duration, the </w:t>
      </w:r>
      <w:r w:rsidR="00525AD8" w:rsidRPr="00215426">
        <w:rPr>
          <w:rFonts w:ascii="New Baskerville" w:hAnsi="New Baskerville"/>
          <w:bCs/>
          <w:lang w:val="en-GB"/>
        </w:rPr>
        <w:t>modality,</w:t>
      </w:r>
      <w:r w:rsidRPr="00215426">
        <w:rPr>
          <w:rFonts w:ascii="New Baskerville" w:hAnsi="New Baskerville"/>
          <w:bCs/>
          <w:lang w:val="en-GB"/>
        </w:rPr>
        <w:t xml:space="preserve"> and the place where the placements are carried out, as well as the training project object of the placement. If other forms of collaboration are established, they will be specified in the corresponding annex which will be signed by the person responsible for placements at the university </w:t>
      </w:r>
      <w:r w:rsidRPr="00215426">
        <w:rPr>
          <w:rFonts w:ascii="New Baskerville" w:hAnsi="New Baskerville"/>
          <w:bCs/>
          <w:lang w:val="en-GB"/>
        </w:rPr>
        <w:lastRenderedPageBreak/>
        <w:t>factuly/school, the Master's degree or the academic tutor, on behalf of the Universidade de Vigo.</w:t>
      </w:r>
    </w:p>
    <w:p w14:paraId="0673F36E" w14:textId="7C89628F" w:rsidR="00B9631F" w:rsidRPr="00215426" w:rsidRDefault="00B9631F" w:rsidP="00FE368D">
      <w:pPr>
        <w:pStyle w:val="Ttulo2"/>
        <w:spacing w:before="120" w:line="360" w:lineRule="auto"/>
        <w:rPr>
          <w:lang w:val="en-GB"/>
        </w:rPr>
      </w:pPr>
      <w:r w:rsidRPr="00215426">
        <w:rPr>
          <w:lang w:val="en-GB"/>
        </w:rPr>
        <w:t xml:space="preserve">Two. - Relationship between the student and the institution </w:t>
      </w:r>
    </w:p>
    <w:p w14:paraId="43CEC517" w14:textId="4A8B96D7" w:rsidR="00B9631F" w:rsidRDefault="00B9631F" w:rsidP="00FE368D">
      <w:pPr>
        <w:pStyle w:val="Textoindependiente"/>
        <w:tabs>
          <w:tab w:val="left" w:pos="9616"/>
        </w:tabs>
        <w:spacing w:before="120" w:after="120" w:line="360" w:lineRule="auto"/>
        <w:ind w:left="108" w:right="102"/>
        <w:rPr>
          <w:rFonts w:ascii="New Baskerville" w:hAnsi="New Baskerville"/>
          <w:b/>
          <w:lang w:val="en-GB"/>
        </w:rPr>
      </w:pPr>
      <w:r w:rsidRPr="00215426">
        <w:rPr>
          <w:rFonts w:ascii="New Baskerville" w:hAnsi="New Baskerville"/>
          <w:bCs/>
          <w:lang w:val="en-GB"/>
        </w:rPr>
        <w:t xml:space="preserve">Given the formative character of the external academic placements to be carried out by the student at the the entity </w:t>
      </w:r>
      <w:r w:rsidRPr="00215426">
        <w:rPr>
          <w:rFonts w:ascii="New Baskerville" w:hAnsi="New Baskerville"/>
          <w:bCs/>
          <w:highlight w:val="lightGray"/>
          <w:lang w:val="en-GB"/>
        </w:rPr>
        <w:t>_______________________________ (</w:t>
      </w:r>
      <w:r w:rsidRPr="00215426">
        <w:rPr>
          <w:rFonts w:ascii="New Baskerville" w:hAnsi="New Baskerville"/>
          <w:bCs/>
          <w:i/>
          <w:iCs/>
          <w:highlight w:val="lightGray"/>
          <w:lang w:val="en-GB"/>
        </w:rPr>
        <w:t>collaborating entity, company, institution</w:t>
      </w:r>
      <w:r w:rsidRPr="00215426">
        <w:rPr>
          <w:rFonts w:ascii="New Baskerville" w:hAnsi="New Baskerville"/>
          <w:bCs/>
          <w:highlight w:val="lightGray"/>
          <w:lang w:val="en-GB"/>
        </w:rPr>
        <w:t>)</w:t>
      </w:r>
      <w:r w:rsidRPr="00215426">
        <w:rPr>
          <w:rFonts w:ascii="New Baskerville" w:hAnsi="New Baskerville"/>
          <w:bCs/>
          <w:lang w:val="en-GB"/>
        </w:rPr>
        <w:t>, no obligations regarding a labour relation will be derived and its content will not lead to the replacement of any provisions allocated to job positions. For their part, the student will undertake to maintain professional secrecy with regard to the work covered by the placement and may not, in any case, sign reports, issue expert opinions or any such documents.</w:t>
      </w:r>
      <w:r w:rsidRPr="00215426">
        <w:rPr>
          <w:rFonts w:ascii="New Baskerville" w:hAnsi="New Baskerville"/>
          <w:b/>
          <w:lang w:val="en-GB"/>
        </w:rPr>
        <w:t xml:space="preserve"> </w:t>
      </w:r>
    </w:p>
    <w:p w14:paraId="6B28784B" w14:textId="77777777" w:rsidR="00525AD8" w:rsidRPr="00215426" w:rsidRDefault="00525AD8" w:rsidP="00FE368D">
      <w:pPr>
        <w:pStyle w:val="Ttulo2"/>
        <w:spacing w:before="120" w:line="360" w:lineRule="auto"/>
        <w:rPr>
          <w:lang w:val="en-GB"/>
        </w:rPr>
      </w:pPr>
      <w:bookmarkStart w:id="0" w:name="_Hlk134441327"/>
      <w:r w:rsidRPr="00215426">
        <w:rPr>
          <w:lang w:val="en-GB"/>
        </w:rPr>
        <w:t>Three. Commitments</w:t>
      </w:r>
    </w:p>
    <w:p w14:paraId="0A9BC0B2" w14:textId="77777777" w:rsidR="00525AD8" w:rsidRPr="00215426" w:rsidRDefault="00525AD8"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In the case of a private entity, </w:t>
      </w:r>
      <w:r w:rsidRPr="00215426">
        <w:rPr>
          <w:rFonts w:ascii="New Baskerville" w:hAnsi="New Baskerville"/>
          <w:bCs/>
          <w:highlight w:val="lightGray"/>
          <w:lang w:val="en-GB"/>
        </w:rPr>
        <w:t>_______________________________ (</w:t>
      </w:r>
      <w:r w:rsidRPr="00215426">
        <w:rPr>
          <w:rFonts w:ascii="New Baskerville" w:hAnsi="New Baskerville"/>
          <w:bCs/>
          <w:i/>
          <w:iCs/>
          <w:highlight w:val="lightGray"/>
          <w:lang w:val="en-GB"/>
        </w:rPr>
        <w:t>collaborating entity, company, institution</w:t>
      </w:r>
      <w:r w:rsidRPr="00215426">
        <w:rPr>
          <w:rFonts w:ascii="New Baskerville" w:hAnsi="New Baskerville"/>
          <w:bCs/>
          <w:highlight w:val="lightGray"/>
          <w:lang w:val="en-GB"/>
        </w:rPr>
        <w:t>)</w:t>
      </w:r>
      <w:r w:rsidRPr="00215426">
        <w:rPr>
          <w:rFonts w:ascii="New Baskerville" w:hAnsi="New Baskerville"/>
          <w:bCs/>
          <w:lang w:val="en-GB"/>
        </w:rPr>
        <w:t xml:space="preserve">, it will not accept interns if it was involved in an employment regulation plan on the start date of the placement. In the event that the regulation is temporary or only affects some specific departments, the student can only do placements in areas not affected by the plan. In addition, if requested, the entity will provide the Universidade de Vigo the reports that it deems appropriate in order to determine the suitability of the collaborating entity, as well as data relating to the size of its staff, as stated in the nominal employee list. </w:t>
      </w:r>
    </w:p>
    <w:bookmarkEnd w:id="0"/>
    <w:p w14:paraId="4C499E26" w14:textId="28DB6B4D" w:rsidR="00A14E41" w:rsidRPr="00215426" w:rsidRDefault="00525AD8" w:rsidP="00FE368D">
      <w:pPr>
        <w:pStyle w:val="Ttulo2"/>
        <w:spacing w:before="120" w:line="360" w:lineRule="auto"/>
        <w:rPr>
          <w:lang w:val="en-GB"/>
        </w:rPr>
      </w:pPr>
      <w:r>
        <w:rPr>
          <w:lang w:val="en-GB"/>
        </w:rPr>
        <w:t>Four</w:t>
      </w:r>
      <w:r w:rsidR="00A14E41" w:rsidRPr="00215426">
        <w:rPr>
          <w:lang w:val="en-GB"/>
        </w:rPr>
        <w:t xml:space="preserve">. Financial compensation </w:t>
      </w:r>
    </w:p>
    <w:p w14:paraId="6BC0F957" w14:textId="77777777" w:rsidR="00A14E41"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This agreement does not involve any expenses for the Universidade de Vigo, so no budget allocation is required. The student will be able to receive, if the entity decides so, a consideration in the form of a scholarship or study support, adjusting in any case the complementary one developed by the Universidade de Vigo. </w:t>
      </w:r>
    </w:p>
    <w:p w14:paraId="284A343A" w14:textId="3A2F5081" w:rsidR="00A14E41" w:rsidRPr="00215426" w:rsidRDefault="00525AD8" w:rsidP="00FE368D">
      <w:pPr>
        <w:pStyle w:val="Ttulo2"/>
        <w:spacing w:before="120" w:line="360" w:lineRule="auto"/>
        <w:rPr>
          <w:bCs/>
          <w:lang w:val="en-GB"/>
        </w:rPr>
      </w:pPr>
      <w:r>
        <w:rPr>
          <w:lang w:val="en-GB"/>
        </w:rPr>
        <w:t>Five</w:t>
      </w:r>
      <w:r w:rsidR="00A14E41" w:rsidRPr="00215426">
        <w:rPr>
          <w:lang w:val="en-GB"/>
        </w:rPr>
        <w:t>. Mentoring</w:t>
      </w:r>
      <w:r w:rsidR="00A14E41" w:rsidRPr="00215426">
        <w:rPr>
          <w:bCs/>
          <w:lang w:val="en-GB"/>
        </w:rPr>
        <w:t xml:space="preserve"> </w:t>
      </w:r>
    </w:p>
    <w:p w14:paraId="48F2951A" w14:textId="73F0F909" w:rsidR="00A01DAA"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The Universidade de Vigo will designate an academic mentor for each intern. For its part, </w:t>
      </w:r>
      <w:r w:rsidR="00A01DAA" w:rsidRPr="00215426">
        <w:rPr>
          <w:rFonts w:ascii="New Baskerville" w:hAnsi="New Baskerville"/>
          <w:bCs/>
          <w:highlight w:val="lightGray"/>
          <w:lang w:val="en-GB"/>
        </w:rPr>
        <w:t>_______________________________ (</w:t>
      </w:r>
      <w:r w:rsidR="00A01DAA" w:rsidRPr="00215426">
        <w:rPr>
          <w:rFonts w:ascii="New Baskerville" w:hAnsi="New Baskerville"/>
          <w:bCs/>
          <w:i/>
          <w:iCs/>
          <w:highlight w:val="lightGray"/>
          <w:lang w:val="en-GB"/>
        </w:rPr>
        <w:t>collaborating entity, company, institution</w:t>
      </w:r>
      <w:r w:rsidR="00A01DAA" w:rsidRPr="00215426">
        <w:rPr>
          <w:rFonts w:ascii="New Baskerville" w:hAnsi="New Baskerville"/>
          <w:bCs/>
          <w:highlight w:val="lightGray"/>
          <w:lang w:val="en-GB"/>
        </w:rPr>
        <w:t>)</w:t>
      </w:r>
      <w:r w:rsidRPr="00215426">
        <w:rPr>
          <w:rFonts w:ascii="New Baskerville" w:hAnsi="New Baskerville"/>
          <w:bCs/>
          <w:lang w:val="en-GB"/>
        </w:rPr>
        <w:t xml:space="preserve"> will also designate a person with professional experience and the necessary knowledge to carry out effective tutoring. The Universidade de Vigo, through its teaching faculties/schools or the </w:t>
      </w:r>
      <w:r w:rsidR="00525AD8" w:rsidRPr="00215426">
        <w:rPr>
          <w:rFonts w:ascii="New Baskerville" w:hAnsi="New Baskerville"/>
          <w:bCs/>
          <w:lang w:val="en-GB"/>
        </w:rPr>
        <w:t>master’s</w:t>
      </w:r>
      <w:r w:rsidRPr="00215426">
        <w:rPr>
          <w:rFonts w:ascii="New Baskerville" w:hAnsi="New Baskerville"/>
          <w:bCs/>
          <w:lang w:val="en-GB"/>
        </w:rPr>
        <w:t xml:space="preserve"> Commissions themselves, will grant this person designated by the entity the certification in which the task performed is recognised. </w:t>
      </w:r>
    </w:p>
    <w:p w14:paraId="78B3E305" w14:textId="70D82E88" w:rsidR="00A01DAA" w:rsidRPr="00313F9B" w:rsidRDefault="00525AD8" w:rsidP="00FE368D">
      <w:pPr>
        <w:pStyle w:val="Ttulo2"/>
        <w:spacing w:before="120" w:line="360" w:lineRule="auto"/>
        <w:rPr>
          <w:lang w:val="en-GB"/>
        </w:rPr>
      </w:pPr>
      <w:r>
        <w:rPr>
          <w:lang w:val="en-GB"/>
        </w:rPr>
        <w:lastRenderedPageBreak/>
        <w:t>Six</w:t>
      </w:r>
      <w:r w:rsidR="00A14E41" w:rsidRPr="00313F9B">
        <w:rPr>
          <w:lang w:val="en-GB"/>
        </w:rPr>
        <w:t xml:space="preserve">. Insurances </w:t>
      </w:r>
    </w:p>
    <w:p w14:paraId="6AF3260A" w14:textId="77777777" w:rsidR="00A01DAA"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Students are required to have a health insurance policy that guarantees health care in the destination country where they will carry out their placement (European Health Insurance Card or private insurance). However, the benefits of the European Health Insurance Card or private insurance may not be sufficient in the event of repatriation or certain medical interventions, so the Universidade de Vigo will recommend that students take out private supplementary insurance. In any case, the Universidade de Vigo will ask students to prove the processing of the European Health Insurance Card or private insurance before their departure. </w:t>
      </w:r>
    </w:p>
    <w:p w14:paraId="6B8704F8" w14:textId="77777777" w:rsidR="00A01DAA"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Liability insurance. The Universidade de Vigo has a civil liability policy. It is expressly stated that the territorial scope of this policy excludes the USA and Canada, as well as those countries that are sanctioned by the EU, and therefore its insurance would be an act contrary to the law or regulations applicable for this purpose. </w:t>
      </w:r>
    </w:p>
    <w:p w14:paraId="01AF6789" w14:textId="77777777" w:rsidR="00A01DAA"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Accident insurance. The Universidade de Vigo has a personal accident policy. </w:t>
      </w:r>
    </w:p>
    <w:p w14:paraId="0F93B1BA" w14:textId="77777777" w:rsidR="00A01DAA"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Travel assistance insurance. Students doing placements abroad must take out additional travel assistance insurance that covers at least private liability, damage to third parties, personal accidents and repatriation. The Universidade de Vigo will provide students with insurance offers, although they may subscribe to any of their choice with the minimum coverage referred to. </w:t>
      </w:r>
    </w:p>
    <w:p w14:paraId="584E7309" w14:textId="4123A592" w:rsidR="00A14E41"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The company / entity will provide the Universidade de Vigo and students with information on the insurance that covers students in placements at its facilities. </w:t>
      </w:r>
    </w:p>
    <w:p w14:paraId="193F2ADB" w14:textId="61AC88C9" w:rsidR="00A14E41" w:rsidRPr="007972C5" w:rsidRDefault="00525AD8" w:rsidP="00FE368D">
      <w:pPr>
        <w:pStyle w:val="Ttulo2"/>
        <w:spacing w:before="120" w:line="360" w:lineRule="auto"/>
        <w:rPr>
          <w:lang w:val="en-GB"/>
        </w:rPr>
      </w:pPr>
      <w:r>
        <w:rPr>
          <w:lang w:val="en-GB"/>
        </w:rPr>
        <w:t>Seven</w:t>
      </w:r>
      <w:r w:rsidR="00A14E41" w:rsidRPr="007972C5">
        <w:rPr>
          <w:lang w:val="en-GB"/>
        </w:rPr>
        <w:t xml:space="preserve">. Duration </w:t>
      </w:r>
    </w:p>
    <w:p w14:paraId="3DE8250D" w14:textId="77777777" w:rsidR="00F90081"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Curricular placements will have the corresponding duration according to their quantification in credits in the degree verification report. The maximum duration of extracurricular external placements will be in accordance with the complementary regulations developed by the Universidade de Vigo. Except for professional placements, the total duration of placements in the same collaborating entity, whether curricular or extracurricular, may not exceed 30 ECTS credits throughout the degree, whether or not interrupted, and will be quantified for these purposes as 25 hours / credit (750 hours). </w:t>
      </w:r>
    </w:p>
    <w:p w14:paraId="3B92DCC2" w14:textId="49C972A6" w:rsidR="00F90081" w:rsidRPr="00215426" w:rsidRDefault="00525AD8" w:rsidP="00FE368D">
      <w:pPr>
        <w:pStyle w:val="Ttulo2"/>
        <w:spacing w:before="120" w:line="360" w:lineRule="auto"/>
        <w:rPr>
          <w:lang w:val="en-GB"/>
        </w:rPr>
      </w:pPr>
      <w:r>
        <w:rPr>
          <w:lang w:val="en-GB"/>
        </w:rPr>
        <w:t>Eight</w:t>
      </w:r>
      <w:r w:rsidR="00A14E41" w:rsidRPr="00215426">
        <w:rPr>
          <w:lang w:val="en-GB"/>
        </w:rPr>
        <w:t xml:space="preserve">. Framework regulations </w:t>
      </w:r>
    </w:p>
    <w:p w14:paraId="0A3B9FE9" w14:textId="22DE4F77" w:rsidR="00F90081" w:rsidRPr="00215426" w:rsidRDefault="00A14E41" w:rsidP="00FE368D">
      <w:pPr>
        <w:pStyle w:val="Textoindependiente"/>
        <w:spacing w:before="120" w:after="120" w:line="360" w:lineRule="auto"/>
        <w:ind w:left="108" w:right="102"/>
        <w:rPr>
          <w:rFonts w:ascii="New Baskerville" w:hAnsi="New Baskerville"/>
          <w:bCs/>
          <w:lang w:val="en-GB"/>
        </w:rPr>
      </w:pPr>
      <w:r w:rsidRPr="00215426">
        <w:rPr>
          <w:rFonts w:ascii="New Baskerville" w:hAnsi="New Baskerville"/>
          <w:bCs/>
          <w:lang w:val="en-GB"/>
        </w:rPr>
        <w:t xml:space="preserve">In any case, the placements will be carried out in accordance with the Regulations </w:t>
      </w:r>
      <w:r w:rsidRPr="00215426">
        <w:rPr>
          <w:rFonts w:ascii="New Baskerville" w:hAnsi="New Baskerville"/>
          <w:bCs/>
          <w:lang w:val="en-GB"/>
        </w:rPr>
        <w:lastRenderedPageBreak/>
        <w:t xml:space="preserve">approved for processing, </w:t>
      </w:r>
      <w:r w:rsidR="00F90081" w:rsidRPr="00215426">
        <w:rPr>
          <w:rFonts w:ascii="New Baskerville" w:hAnsi="New Baskerville"/>
          <w:bCs/>
          <w:lang w:val="en-GB"/>
        </w:rPr>
        <w:t>managing,</w:t>
      </w:r>
      <w:r w:rsidRPr="00215426">
        <w:rPr>
          <w:rFonts w:ascii="New Baskerville" w:hAnsi="New Baskerville"/>
          <w:bCs/>
          <w:lang w:val="en-GB"/>
        </w:rPr>
        <w:t xml:space="preserve"> and disseminating external academic placements and the Royal Decree regulating the external academic placements of university students. Likewise, in carrying out the placements, the rules of the health authorities in force, the preventive requirements for the protection of the student's health and the resolutions of the Rector of the Universidade de Vigo must be respected. </w:t>
      </w:r>
    </w:p>
    <w:p w14:paraId="061D9F63" w14:textId="1A126B9C" w:rsidR="00A14E41" w:rsidRPr="00215426" w:rsidRDefault="00525AD8" w:rsidP="00FE368D">
      <w:pPr>
        <w:pStyle w:val="Ttulo2"/>
        <w:spacing w:before="120" w:line="360" w:lineRule="auto"/>
        <w:rPr>
          <w:bCs/>
          <w:lang w:val="en-GB"/>
        </w:rPr>
      </w:pPr>
      <w:r>
        <w:rPr>
          <w:lang w:val="en-GB"/>
        </w:rPr>
        <w:t>Nine</w:t>
      </w:r>
      <w:r w:rsidR="00A14E41" w:rsidRPr="00215426">
        <w:rPr>
          <w:lang w:val="en-GB"/>
        </w:rPr>
        <w:t>. Decree Law on the revaluation of public pensions</w:t>
      </w:r>
      <w:r w:rsidR="00A14E41" w:rsidRPr="00215426">
        <w:rPr>
          <w:bCs/>
          <w:lang w:val="en-GB"/>
        </w:rPr>
        <w:t xml:space="preserve"> </w:t>
      </w:r>
    </w:p>
    <w:p w14:paraId="1A368F91" w14:textId="02CB448A" w:rsidR="00A14E41" w:rsidRPr="00215426" w:rsidRDefault="00A14E41" w:rsidP="00FE368D">
      <w:pPr>
        <w:pStyle w:val="Textoindependiente"/>
        <w:spacing w:before="120" w:after="120" w:line="360" w:lineRule="auto"/>
        <w:ind w:left="108" w:right="102"/>
        <w:rPr>
          <w:rFonts w:ascii="New Baskerville" w:hAnsi="New Baskerville"/>
          <w:b/>
          <w:lang w:val="en-GB"/>
        </w:rPr>
      </w:pPr>
      <w:r w:rsidRPr="00215426">
        <w:rPr>
          <w:rFonts w:ascii="New Baskerville" w:hAnsi="New Baskerville"/>
          <w:bCs/>
          <w:lang w:val="en-GB"/>
        </w:rPr>
        <w:t xml:space="preserve">In relation to the obligations set out in the fifth additional provision of Royal Decree-Law 28/2018, of 28 December, for the revaluation of public pensions and other urgent measures in social, labour and employment matters, given that regulatory development has not yet taken place for its effective implementation, both parties undertake to sign an addendum at the time such regulatory development enters into force. It sets out the obligations of the parties to comply with the regulations for the development of the aforementioned Royal Decree-Law; otherwise, the agreement will be deemed </w:t>
      </w:r>
      <w:r w:rsidR="00F90081" w:rsidRPr="00215426">
        <w:rPr>
          <w:rFonts w:ascii="New Baskerville" w:hAnsi="New Baskerville"/>
          <w:bCs/>
          <w:lang w:val="en-GB"/>
        </w:rPr>
        <w:t>terminated.</w:t>
      </w:r>
    </w:p>
    <w:p w14:paraId="7753DEE0" w14:textId="58F92055" w:rsidR="003020D0" w:rsidRPr="003020D0" w:rsidRDefault="00525AD8" w:rsidP="00FE368D">
      <w:pPr>
        <w:pStyle w:val="Textoindependiente"/>
        <w:spacing w:before="120" w:after="120" w:line="360" w:lineRule="auto"/>
        <w:ind w:left="108" w:right="102"/>
        <w:rPr>
          <w:rFonts w:ascii="New Baskerville" w:hAnsi="New Baskerville"/>
          <w:b/>
          <w:lang w:val="en-GB"/>
        </w:rPr>
      </w:pPr>
      <w:r>
        <w:rPr>
          <w:rStyle w:val="Ttulo2Car"/>
        </w:rPr>
        <w:t>Ten</w:t>
      </w:r>
      <w:r w:rsidR="003020D0" w:rsidRPr="003020D0">
        <w:rPr>
          <w:rStyle w:val="Ttulo2Car"/>
          <w:lang w:val="en-GB"/>
        </w:rPr>
        <w:t xml:space="preserve">. </w:t>
      </w:r>
      <w:r>
        <w:rPr>
          <w:rStyle w:val="Ttulo2Car"/>
          <w:lang w:val="en-GB"/>
        </w:rPr>
        <w:t xml:space="preserve">Personal data protection. </w:t>
      </w:r>
      <w:r w:rsidR="003020D0" w:rsidRPr="003020D0">
        <w:rPr>
          <w:rStyle w:val="Ttulo2Car"/>
          <w:lang w:val="en-GB"/>
        </w:rPr>
        <w:t xml:space="preserve">Clause in the Cooperation Agreement </w:t>
      </w:r>
      <w:r w:rsidR="00BA2828" w:rsidRPr="00313F9B">
        <w:rPr>
          <w:rStyle w:val="Ttulo2Car"/>
        </w:rPr>
        <w:t>with</w:t>
      </w:r>
      <w:r w:rsidR="003020D0" w:rsidRPr="003020D0">
        <w:rPr>
          <w:rStyle w:val="Ttulo2Car"/>
          <w:lang w:val="en-GB"/>
        </w:rPr>
        <w:t xml:space="preserve"> countries </w:t>
      </w:r>
      <w:r w:rsidR="00BA2828" w:rsidRPr="00313F9B">
        <w:rPr>
          <w:rStyle w:val="Ttulo2Car"/>
        </w:rPr>
        <w:t>stated</w:t>
      </w:r>
      <w:r w:rsidR="003020D0" w:rsidRPr="003020D0">
        <w:rPr>
          <w:rStyle w:val="Ttulo2Car"/>
          <w:lang w:val="en-GB"/>
        </w:rPr>
        <w:t xml:space="preserve"> as adequate by the European Commission</w:t>
      </w:r>
      <w:r w:rsidR="003020D0" w:rsidRPr="003020D0">
        <w:rPr>
          <w:rFonts w:ascii="New Baskerville" w:hAnsi="New Baskerville"/>
          <w:b/>
          <w:vertAlign w:val="superscript"/>
          <w:lang w:val="es-ES"/>
        </w:rPr>
        <w:footnoteReference w:id="1"/>
      </w:r>
      <w:r w:rsidR="003020D0" w:rsidRPr="003020D0">
        <w:rPr>
          <w:rFonts w:ascii="New Baskerville" w:hAnsi="New Baskerville"/>
          <w:b/>
          <w:vertAlign w:val="superscript"/>
          <w:lang w:val="en-GB"/>
        </w:rPr>
        <w:t xml:space="preserve"> </w:t>
      </w:r>
    </w:p>
    <w:p w14:paraId="6D2B8AC5" w14:textId="0FC05D73" w:rsidR="00D071EF" w:rsidRPr="00D071EF" w:rsidRDefault="00D071EF" w:rsidP="00FE368D">
      <w:pPr>
        <w:pStyle w:val="Textoindependiente"/>
        <w:spacing w:before="120" w:after="120" w:line="360" w:lineRule="auto"/>
        <w:ind w:left="108" w:right="102"/>
        <w:rPr>
          <w:rFonts w:ascii="New Baskerville" w:hAnsi="New Baskerville"/>
          <w:bCs/>
          <w:lang w:val="en-GB"/>
        </w:rPr>
      </w:pPr>
      <w:r w:rsidRPr="00D071EF">
        <w:rPr>
          <w:rFonts w:ascii="New Baskerville" w:hAnsi="New Baskerville"/>
          <w:bCs/>
          <w:lang w:val="en-GB"/>
        </w:rPr>
        <w:t>The parties declare that they understand and agree upon the European legislation on personal data protection and commit to properly using the data obtained as a result of the development of this agreement within the framework of the provisions EU Regulation 2016/679 of the European Parliament and of the Council of 27 April 2016 (RGPD) and the implementing regulations applicable to each party.</w:t>
      </w:r>
    </w:p>
    <w:p w14:paraId="15332C91" w14:textId="4C5749D2" w:rsidR="005B0E32" w:rsidRPr="005B0E32" w:rsidRDefault="005B0E32" w:rsidP="00FE368D">
      <w:pPr>
        <w:pStyle w:val="Textoindependiente"/>
        <w:numPr>
          <w:ilvl w:val="0"/>
          <w:numId w:val="7"/>
        </w:numPr>
        <w:spacing w:before="120" w:after="120" w:line="360" w:lineRule="auto"/>
        <w:ind w:right="103"/>
        <w:rPr>
          <w:rFonts w:ascii="New Baskerville" w:hAnsi="New Baskerville"/>
          <w:lang w:val="en-GB"/>
        </w:rPr>
      </w:pPr>
      <w:r w:rsidRPr="005B0E32">
        <w:rPr>
          <w:rFonts w:ascii="New Baskerville" w:hAnsi="New Baskerville"/>
          <w:lang w:val="en-GB"/>
        </w:rPr>
        <w:t>In the case of the University of Vigo, it will be Regulation (EU) 2016/679 of the European Parliament and of the Council, of 27 April 2016 (RGPD), Organic Law 3/2018, of 5 December, on the protection of personal data and guarantee of digital rights (LOPDGDD) and other implementing regulations.</w:t>
      </w:r>
    </w:p>
    <w:p w14:paraId="6741632E" w14:textId="0A8353FF" w:rsidR="005B0E32" w:rsidRPr="0013169E" w:rsidRDefault="005B0E32" w:rsidP="00FE368D">
      <w:pPr>
        <w:pStyle w:val="Textoindependiente"/>
        <w:numPr>
          <w:ilvl w:val="0"/>
          <w:numId w:val="7"/>
        </w:numPr>
        <w:spacing w:before="120" w:after="120" w:line="360" w:lineRule="auto"/>
        <w:ind w:right="103"/>
        <w:rPr>
          <w:rFonts w:ascii="New Baskerville" w:hAnsi="New Baskerville"/>
          <w:lang w:val="en-GB"/>
        </w:rPr>
      </w:pPr>
      <w:r w:rsidRPr="0013169E">
        <w:rPr>
          <w:rFonts w:ascii="New Baskerville" w:hAnsi="New Baskerville"/>
          <w:lang w:val="en-GB"/>
        </w:rPr>
        <w:t xml:space="preserve">In the case of </w:t>
      </w:r>
      <w:r w:rsidRPr="0013169E">
        <w:rPr>
          <w:rFonts w:ascii="New Baskerville" w:hAnsi="New Baskerville"/>
          <w:highlight w:val="lightGray"/>
          <w:lang w:val="en-GB"/>
        </w:rPr>
        <w:t>[COUNTERPARTY</w:t>
      </w:r>
      <w:r w:rsidR="00525AD8" w:rsidRPr="0013169E">
        <w:rPr>
          <w:rFonts w:ascii="New Baskerville" w:hAnsi="New Baskerville"/>
          <w:highlight w:val="lightGray"/>
          <w:lang w:val="en-GB"/>
        </w:rPr>
        <w:t>]</w:t>
      </w:r>
      <w:r w:rsidR="00525AD8">
        <w:rPr>
          <w:rFonts w:ascii="New Baskerville" w:hAnsi="New Baskerville"/>
          <w:lang w:val="en-GB"/>
        </w:rPr>
        <w:t xml:space="preserve"> and</w:t>
      </w:r>
      <w:r w:rsidR="0013169E" w:rsidRPr="006A4147">
        <w:rPr>
          <w:rFonts w:ascii="New Baskerville" w:hAnsi="New Baskerville"/>
          <w:lang w:val="en-GB"/>
        </w:rPr>
        <w:t xml:space="preserve"> considering that it belongs to [</w:t>
      </w:r>
      <w:r w:rsidR="0013169E" w:rsidRPr="006A4147">
        <w:rPr>
          <w:rFonts w:ascii="New Baskerville" w:hAnsi="New Baskerville"/>
          <w:highlight w:val="lightGray"/>
          <w:lang w:val="en-GB"/>
        </w:rPr>
        <w:t>COUNTRY OR TERRITORY</w:t>
      </w:r>
      <w:r w:rsidR="0013169E" w:rsidRPr="006A4147">
        <w:rPr>
          <w:rFonts w:ascii="New Baskerville" w:hAnsi="New Baskerville"/>
          <w:lang w:val="en-GB"/>
        </w:rPr>
        <w:t>], which has a declaration of adequacy from the European Commission adopted in accordance with the provisions of Article 45 of the GDPR [</w:t>
      </w:r>
      <w:r w:rsidR="0013169E" w:rsidRPr="006A4147">
        <w:rPr>
          <w:rFonts w:ascii="New Baskerville" w:hAnsi="New Baskerville"/>
          <w:highlight w:val="lightGray"/>
          <w:lang w:val="en-GB"/>
        </w:rPr>
        <w:t>DECLARATION OF ADEQUACY</w:t>
      </w:r>
      <w:r w:rsidR="0013169E" w:rsidRPr="006A4147">
        <w:rPr>
          <w:rFonts w:ascii="New Baskerville" w:hAnsi="New Baskerville"/>
          <w:lang w:val="en-GB"/>
        </w:rPr>
        <w:t xml:space="preserve">], the </w:t>
      </w:r>
      <w:r w:rsidR="00A24486" w:rsidRPr="006A4147">
        <w:rPr>
          <w:rFonts w:ascii="New Baskerville" w:hAnsi="New Baskerville"/>
          <w:lang w:val="en-GB"/>
        </w:rPr>
        <w:t xml:space="preserve">applicable </w:t>
      </w:r>
      <w:r w:rsidR="00A24486" w:rsidRPr="0013169E">
        <w:rPr>
          <w:rFonts w:ascii="New Baskerville" w:hAnsi="New Baskerville"/>
          <w:lang w:val="en-GB"/>
        </w:rPr>
        <w:t>regulatory</w:t>
      </w:r>
      <w:r w:rsidRPr="0013169E">
        <w:rPr>
          <w:rFonts w:ascii="New Baskerville" w:hAnsi="New Baskerville"/>
          <w:lang w:val="en-GB"/>
        </w:rPr>
        <w:t xml:space="preserve"> framework shall be determined by </w:t>
      </w:r>
      <w:r w:rsidRPr="0013169E">
        <w:rPr>
          <w:rFonts w:ascii="New Baskerville" w:hAnsi="New Baskerville"/>
          <w:highlight w:val="lightGray"/>
          <w:lang w:val="en-GB"/>
        </w:rPr>
        <w:t>[LIST APPLICABLE STANDARD(S)].</w:t>
      </w:r>
    </w:p>
    <w:p w14:paraId="465481BD" w14:textId="77777777" w:rsidR="0007006C" w:rsidRPr="0007006C" w:rsidRDefault="0007006C" w:rsidP="00FE368D">
      <w:pPr>
        <w:pStyle w:val="Textoindependiente"/>
        <w:spacing w:before="120" w:after="120" w:line="360" w:lineRule="auto"/>
        <w:ind w:left="109" w:right="103"/>
        <w:rPr>
          <w:rFonts w:ascii="New Baskerville" w:hAnsi="New Baskerville"/>
          <w:lang w:val="en-GB"/>
        </w:rPr>
      </w:pPr>
      <w:r w:rsidRPr="0007006C">
        <w:rPr>
          <w:rFonts w:ascii="New Baskerville" w:hAnsi="New Baskerville"/>
          <w:lang w:val="en-GB"/>
        </w:rPr>
        <w:lastRenderedPageBreak/>
        <w:t>In the execution of this agreement, the parties declare that they assume the condition of independent data controllers, since each one in its own scope of action determines the means and purposes of the necessary data processing; and that the conditions to be considered co-responsible for the processing under the provisions of the RGPD do not exist. Consequently, each of the signatory parties shall be individually liable to the persons concerned and to the competent supervisory authorities for any failure to comply with their corresponding obligations regarding the protection of personal data, as well as for any infringements they may have committed.</w:t>
      </w:r>
    </w:p>
    <w:p w14:paraId="330201DC" w14:textId="5FC79F99" w:rsidR="0007006C" w:rsidRPr="0007006C" w:rsidRDefault="0007006C" w:rsidP="00FE368D">
      <w:pPr>
        <w:pStyle w:val="Textoindependiente"/>
        <w:spacing w:before="120" w:after="120" w:line="360" w:lineRule="auto"/>
        <w:ind w:left="109" w:right="103"/>
        <w:rPr>
          <w:rFonts w:ascii="New Baskerville" w:hAnsi="New Baskerville"/>
          <w:lang w:val="en-GB"/>
        </w:rPr>
      </w:pPr>
      <w:r w:rsidRPr="0007006C">
        <w:rPr>
          <w:rFonts w:ascii="New Baskerville" w:hAnsi="New Baskerville"/>
          <w:lang w:val="en-GB"/>
        </w:rPr>
        <w:t xml:space="preserve">The interested parties may exercise their rights of access, rectification, cancellation, opposition, </w:t>
      </w:r>
      <w:r w:rsidR="00A24486" w:rsidRPr="0007006C">
        <w:rPr>
          <w:rFonts w:ascii="New Baskerville" w:hAnsi="New Baskerville"/>
          <w:lang w:val="en-GB"/>
        </w:rPr>
        <w:t>limitation,</w:t>
      </w:r>
      <w:r w:rsidRPr="0007006C">
        <w:rPr>
          <w:rFonts w:ascii="New Baskerville" w:hAnsi="New Baskerville"/>
          <w:lang w:val="en-GB"/>
        </w:rPr>
        <w:t xml:space="preserve"> and portability under the legal terms provided for, by means of communication to the registered address of the corresponding data controller, as well as, if any, by e-mail to the respective data protection delegates. If the request for the exercise of rights is submitted to a party that is not the competent party for its processing and resolution, the latter will forward it to the competent party as soon as possible, informing the interested party.</w:t>
      </w:r>
    </w:p>
    <w:p w14:paraId="57AA15AD" w14:textId="7CD356BF" w:rsidR="0007006C" w:rsidRPr="0007006C" w:rsidRDefault="0007006C" w:rsidP="00FE368D">
      <w:pPr>
        <w:pStyle w:val="Textoindependiente"/>
        <w:spacing w:before="120" w:after="120" w:line="360" w:lineRule="auto"/>
        <w:ind w:left="109" w:right="103"/>
        <w:rPr>
          <w:rFonts w:ascii="New Baskerville" w:hAnsi="New Baskerville"/>
          <w:lang w:val="en-GB"/>
        </w:rPr>
      </w:pPr>
      <w:r w:rsidRPr="0007006C">
        <w:rPr>
          <w:rFonts w:ascii="New Baskerville" w:hAnsi="New Baskerville"/>
          <w:lang w:val="en-GB"/>
        </w:rPr>
        <w:t xml:space="preserve">If the correct execution of any of the services of this agreement requires the transfer of personal data from one of the parties to the other, this will have its basis of legitimacy, at least, in the </w:t>
      </w:r>
      <w:r w:rsidR="00A24486" w:rsidRPr="0007006C">
        <w:rPr>
          <w:rFonts w:ascii="New Baskerville" w:hAnsi="New Baskerville"/>
          <w:lang w:val="en-GB"/>
        </w:rPr>
        <w:t>fulfilment</w:t>
      </w:r>
      <w:r w:rsidRPr="0007006C">
        <w:rPr>
          <w:rFonts w:ascii="New Baskerville" w:hAnsi="New Baskerville"/>
          <w:lang w:val="en-GB"/>
        </w:rPr>
        <w:t xml:space="preserve"> of this agreement, in accordance with the provisions of Article 6.1.b) of the RGPD, provided that it is limited to the minimum necessary to achieve the intended purpose. In any case, the transferee entity shall adopt the appropriate measures to limit the access of its employees to the personal data transferred during the term of this agreement.</w:t>
      </w:r>
    </w:p>
    <w:p w14:paraId="483F022A" w14:textId="77777777" w:rsidR="00D071EF" w:rsidRPr="00D071EF" w:rsidRDefault="00D071EF" w:rsidP="00FE368D">
      <w:pPr>
        <w:pStyle w:val="Textoindependiente"/>
        <w:spacing w:before="120" w:after="120" w:line="360" w:lineRule="auto"/>
        <w:ind w:left="109" w:right="103"/>
        <w:rPr>
          <w:rFonts w:ascii="New Baskerville" w:hAnsi="New Baskerville"/>
          <w:bCs/>
          <w:lang w:val="en-GB"/>
        </w:rPr>
      </w:pPr>
      <w:r w:rsidRPr="00D071EF">
        <w:rPr>
          <w:rFonts w:ascii="New Baskerville" w:hAnsi="New Baskerville"/>
          <w:bCs/>
          <w:lang w:val="en-GB"/>
        </w:rPr>
        <w:t>Notwithstanding the above, the personal data contained in this agreement relating to the signatories shall and/or may be subject to those actions arising from the application and compliance with the regulations on transparency and access to public information applicable to the Universidade de Vigo and, where appropriate, to the other party.</w:t>
      </w:r>
    </w:p>
    <w:p w14:paraId="4CD0D067" w14:textId="5E716B5B" w:rsidR="003D64F1" w:rsidRPr="00215426" w:rsidRDefault="00525AD8" w:rsidP="00FE368D">
      <w:pPr>
        <w:pStyle w:val="Ttulo2"/>
        <w:spacing w:before="120" w:line="360" w:lineRule="auto"/>
        <w:rPr>
          <w:lang w:val="en-GB"/>
        </w:rPr>
      </w:pPr>
      <w:r>
        <w:rPr>
          <w:lang w:val="en-GB"/>
        </w:rPr>
        <w:t>Eleven</w:t>
      </w:r>
      <w:r w:rsidR="003D64F1" w:rsidRPr="00215426">
        <w:rPr>
          <w:lang w:val="en-GB"/>
        </w:rPr>
        <w:t xml:space="preserve">. Conflict resolution </w:t>
      </w:r>
    </w:p>
    <w:p w14:paraId="532EEE32" w14:textId="36EAB96D" w:rsidR="003D64F1" w:rsidRPr="00215426" w:rsidRDefault="003D64F1" w:rsidP="00FE368D">
      <w:pPr>
        <w:pStyle w:val="NormalWeb"/>
        <w:spacing w:before="120" w:beforeAutospacing="0" w:after="12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A joint monitoring committee of this agreement is created, made up of a representative of the Universidade de Vigo and a representative of the collaborating entity. This commission will solve the problems which may arise from this agreement's execution and will guarantee the normal development of the assumed commitments. Disputes arising out of the interpretation, modification, </w:t>
      </w:r>
      <w:r w:rsidR="00A24486" w:rsidRPr="00215426">
        <w:rPr>
          <w:rFonts w:ascii="New Baskerville" w:eastAsia="Arial Narrow" w:hAnsi="New Baskerville" w:cs="Arial Narrow"/>
          <w:bCs/>
          <w:sz w:val="22"/>
          <w:szCs w:val="22"/>
          <w:lang w:val="en-GB" w:eastAsia="en-US"/>
        </w:rPr>
        <w:t>resolution,</w:t>
      </w:r>
      <w:r w:rsidRPr="00215426">
        <w:rPr>
          <w:rFonts w:ascii="New Baskerville" w:eastAsia="Arial Narrow" w:hAnsi="New Baskerville" w:cs="Arial Narrow"/>
          <w:bCs/>
          <w:sz w:val="22"/>
          <w:szCs w:val="22"/>
          <w:lang w:val="en-GB" w:eastAsia="en-US"/>
        </w:rPr>
        <w:t xml:space="preserve"> and effects of this Agreement shall be resolved, in the first instance, by the Joint Committee. Disputes that may arise for the </w:t>
      </w:r>
      <w:r w:rsidRPr="00215426">
        <w:rPr>
          <w:rFonts w:ascii="New Baskerville" w:eastAsia="Arial Narrow" w:hAnsi="New Baskerville" w:cs="Arial Narrow"/>
          <w:bCs/>
          <w:sz w:val="22"/>
          <w:szCs w:val="22"/>
          <w:lang w:val="en-GB" w:eastAsia="en-US"/>
        </w:rPr>
        <w:lastRenderedPageBreak/>
        <w:t>parties, and that cannot be resolved in the joint committee, will be submitted to the resolution of the contentious-administrative jurisdiction, given the administrative nature of the agreement.</w:t>
      </w:r>
      <w:r w:rsidRPr="00215426">
        <w:rPr>
          <w:rFonts w:ascii="New Baskerville" w:eastAsia="Arial Narrow" w:hAnsi="New Baskerville" w:cs="Arial Narrow"/>
          <w:b/>
          <w:sz w:val="22"/>
          <w:szCs w:val="22"/>
          <w:lang w:val="en-GB" w:eastAsia="en-US"/>
        </w:rPr>
        <w:t xml:space="preserve"> </w:t>
      </w:r>
    </w:p>
    <w:p w14:paraId="001B0D81" w14:textId="46BBA591" w:rsidR="003D64F1" w:rsidRPr="00215426" w:rsidRDefault="00525AD8" w:rsidP="00FE368D">
      <w:pPr>
        <w:pStyle w:val="Ttulo2"/>
        <w:spacing w:before="120" w:line="360" w:lineRule="auto"/>
        <w:rPr>
          <w:lang w:val="en-GB"/>
        </w:rPr>
      </w:pPr>
      <w:r>
        <w:rPr>
          <w:lang w:val="en-GB"/>
        </w:rPr>
        <w:t>Twelve</w:t>
      </w:r>
      <w:r w:rsidR="003D64F1" w:rsidRPr="00215426">
        <w:rPr>
          <w:lang w:val="en-GB"/>
        </w:rPr>
        <w:t xml:space="preserve">. Validity </w:t>
      </w:r>
    </w:p>
    <w:p w14:paraId="64ECA601" w14:textId="77777777" w:rsidR="003D64F1" w:rsidRPr="00215426" w:rsidRDefault="003D64F1" w:rsidP="00FE368D">
      <w:pPr>
        <w:pStyle w:val="NormalWeb"/>
        <w:spacing w:before="120" w:beforeAutospacing="0" w:after="120" w:afterAutospacing="0" w:line="360" w:lineRule="auto"/>
        <w:ind w:left="142"/>
        <w:jc w:val="both"/>
        <w:rPr>
          <w:rFonts w:ascii="New Baskerville" w:eastAsia="Arial Narrow" w:hAnsi="New Baskerville" w:cs="Arial Narrow"/>
          <w:bCs/>
          <w:sz w:val="22"/>
          <w:szCs w:val="22"/>
          <w:lang w:val="en-GB" w:eastAsia="en-US"/>
        </w:rPr>
      </w:pPr>
      <w:r w:rsidRPr="00215426">
        <w:rPr>
          <w:rFonts w:ascii="New Baskerville" w:eastAsia="Arial Narrow" w:hAnsi="New Baskerville" w:cs="Arial Narrow"/>
          <w:bCs/>
          <w:sz w:val="22"/>
          <w:szCs w:val="22"/>
          <w:lang w:val="en-GB" w:eastAsia="en-US"/>
        </w:rPr>
        <w:t xml:space="preserve">The present agreement shall enter into effect as of the date on which it is signed and shall continue to be effective for four years. However, before the end of that foreseen date if circumstances make it advisable, the parties may agree unanimously its extension for the period strictly necessary and always within the maximum limit of up to four additional years as it is established in the Spanish Law 40/2015 of 1st October of the legal system of the Spanish public sector. </w:t>
      </w:r>
    </w:p>
    <w:p w14:paraId="2FBBDDEE" w14:textId="6C71B847" w:rsidR="003D64F1" w:rsidRPr="00215426" w:rsidRDefault="00525AD8" w:rsidP="00FE368D">
      <w:pPr>
        <w:pStyle w:val="Ttulo2"/>
        <w:spacing w:before="120" w:line="360" w:lineRule="auto"/>
        <w:rPr>
          <w:lang w:val="en-GB"/>
        </w:rPr>
      </w:pPr>
      <w:r>
        <w:rPr>
          <w:lang w:val="en-GB"/>
        </w:rPr>
        <w:t>Thirteen</w:t>
      </w:r>
      <w:r w:rsidR="003D64F1" w:rsidRPr="00215426">
        <w:rPr>
          <w:lang w:val="en-GB"/>
        </w:rPr>
        <w:t xml:space="preserve">. Causes of resolution </w:t>
      </w:r>
    </w:p>
    <w:p w14:paraId="126EC06A" w14:textId="77777777" w:rsidR="003D64F1" w:rsidRPr="00215426" w:rsidRDefault="003D64F1" w:rsidP="00FE368D">
      <w:pPr>
        <w:pStyle w:val="NormalWeb"/>
        <w:spacing w:before="120" w:beforeAutospacing="0" w:after="12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These are causes for resolution: </w:t>
      </w:r>
    </w:p>
    <w:p w14:paraId="1B122D23" w14:textId="314174E7" w:rsidR="003D64F1" w:rsidRPr="00215426" w:rsidRDefault="003D64F1" w:rsidP="00FE368D">
      <w:pPr>
        <w:pStyle w:val="NormalWeb"/>
        <w:numPr>
          <w:ilvl w:val="0"/>
          <w:numId w:val="5"/>
        </w:numPr>
        <w:spacing w:before="12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expiration of the term of validity of the agreement without agreeing on its extension. </w:t>
      </w:r>
    </w:p>
    <w:p w14:paraId="24F9109C" w14:textId="77777777" w:rsidR="003D64F1" w:rsidRPr="00215426" w:rsidRDefault="003D64F1" w:rsidP="00FE368D">
      <w:pPr>
        <w:pStyle w:val="NormalWeb"/>
        <w:numPr>
          <w:ilvl w:val="0"/>
          <w:numId w:val="5"/>
        </w:numPr>
        <w:spacing w:before="12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expiry of the maximum period of its validity, including the extension period established therein. </w:t>
      </w:r>
    </w:p>
    <w:p w14:paraId="39BE1495" w14:textId="77777777" w:rsidR="003D64F1" w:rsidRPr="00215426" w:rsidRDefault="003D64F1" w:rsidP="00FE368D">
      <w:pPr>
        <w:pStyle w:val="NormalWeb"/>
        <w:numPr>
          <w:ilvl w:val="0"/>
          <w:numId w:val="5"/>
        </w:numPr>
        <w:spacing w:before="12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unanimous agreement of the signatories. </w:t>
      </w:r>
    </w:p>
    <w:p w14:paraId="54A0E395" w14:textId="77777777" w:rsidR="003D64F1" w:rsidRPr="00215426" w:rsidRDefault="003D64F1" w:rsidP="00FE368D">
      <w:pPr>
        <w:pStyle w:val="NormalWeb"/>
        <w:numPr>
          <w:ilvl w:val="0"/>
          <w:numId w:val="5"/>
        </w:numPr>
        <w:spacing w:before="12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Failure to comply with the obligations and commitments assumed by any of the signatories. </w:t>
      </w:r>
    </w:p>
    <w:p w14:paraId="0E967BA1" w14:textId="77777777" w:rsidR="007A1DD8" w:rsidRPr="00215426" w:rsidRDefault="003D64F1" w:rsidP="00FE368D">
      <w:pPr>
        <w:pStyle w:val="NormalWeb"/>
        <w:numPr>
          <w:ilvl w:val="0"/>
          <w:numId w:val="5"/>
        </w:numPr>
        <w:spacing w:before="12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By court decision declaring the agreement null and void. </w:t>
      </w:r>
    </w:p>
    <w:p w14:paraId="48B8D1E4" w14:textId="77777777" w:rsidR="007A1DD8" w:rsidRPr="00215426" w:rsidRDefault="003D64F1" w:rsidP="00FE368D">
      <w:pPr>
        <w:pStyle w:val="NormalWeb"/>
        <w:numPr>
          <w:ilvl w:val="0"/>
          <w:numId w:val="5"/>
        </w:numPr>
        <w:spacing w:before="120" w:beforeAutospacing="0" w:after="12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For any of the reasons included in the university regulations on external placements (the content of the agreement). </w:t>
      </w:r>
    </w:p>
    <w:p w14:paraId="6FA96563" w14:textId="2D948573" w:rsidR="007A1DD8" w:rsidRPr="00215426" w:rsidRDefault="003D64F1" w:rsidP="00FE368D">
      <w:pPr>
        <w:pStyle w:val="NormalWeb"/>
        <w:spacing w:before="120" w:beforeAutospacing="0" w:after="120" w:afterAutospacing="0" w:line="360" w:lineRule="auto"/>
        <w:ind w:left="142"/>
        <w:jc w:val="both"/>
        <w:rPr>
          <w:rFonts w:ascii="New Baskerville" w:eastAsia="Arial Narrow" w:hAnsi="New Baskerville" w:cs="Arial Narrow"/>
          <w:bCs/>
          <w:sz w:val="22"/>
          <w:szCs w:val="22"/>
          <w:lang w:val="en-GB" w:eastAsia="en-US"/>
        </w:rPr>
      </w:pPr>
      <w:r w:rsidRPr="00215426">
        <w:rPr>
          <w:rFonts w:ascii="New Baskerville" w:eastAsia="Arial Narrow" w:hAnsi="New Baskerville" w:cs="Arial Narrow"/>
          <w:bCs/>
          <w:sz w:val="22"/>
          <w:szCs w:val="22"/>
          <w:lang w:val="en-GB" w:eastAsia="en-US"/>
        </w:rPr>
        <w:t xml:space="preserve">If at the time of termination any student was carrying out their placement, they will continue until the foreseen date of completion. With the signing of this agreement, any other agreement signed by the parties for the same purpose is repealed. </w:t>
      </w:r>
    </w:p>
    <w:p w14:paraId="78EB0AF4" w14:textId="48FDB557" w:rsidR="003D64F1" w:rsidRPr="00215426" w:rsidRDefault="003D64F1" w:rsidP="00FE368D">
      <w:pPr>
        <w:pStyle w:val="NormalWeb"/>
        <w:spacing w:before="120" w:beforeAutospacing="0" w:after="12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In witness whereof, the parties sign present Agreement in Vigo, on the date of the la</w:t>
      </w:r>
      <w:r w:rsidR="00527765">
        <w:rPr>
          <w:rFonts w:ascii="New Baskerville" w:eastAsia="Arial Narrow" w:hAnsi="New Baskerville" w:cs="Arial Narrow"/>
          <w:bCs/>
          <w:sz w:val="22"/>
          <w:szCs w:val="22"/>
          <w:lang w:val="en-GB" w:eastAsia="en-US"/>
        </w:rPr>
        <w:t>test electronic</w:t>
      </w:r>
      <w:r w:rsidRPr="00215426">
        <w:rPr>
          <w:rFonts w:ascii="New Baskerville" w:eastAsia="Arial Narrow" w:hAnsi="New Baskerville" w:cs="Arial Narrow"/>
          <w:bCs/>
          <w:sz w:val="22"/>
          <w:szCs w:val="22"/>
          <w:lang w:val="en-GB" w:eastAsia="en-US"/>
        </w:rPr>
        <w:t xml:space="preserve"> signature</w:t>
      </w:r>
      <w:r w:rsidRPr="00215426">
        <w:rPr>
          <w:rFonts w:ascii="New Baskerville" w:eastAsia="Arial Narrow" w:hAnsi="New Baskerville" w:cs="Arial Narrow"/>
          <w:b/>
          <w:sz w:val="22"/>
          <w:szCs w:val="22"/>
          <w:lang w:val="en-GB" w:eastAsia="en-US"/>
        </w:rPr>
        <w:t>.</w:t>
      </w:r>
    </w:p>
    <w:p w14:paraId="19AFA253" w14:textId="0FB8B804" w:rsidR="001B7F73" w:rsidRPr="00215426" w:rsidRDefault="00D210DB" w:rsidP="00FE368D">
      <w:pPr>
        <w:pStyle w:val="NormalWeb"/>
        <w:shd w:val="clear" w:color="auto" w:fill="EFEFEF"/>
        <w:spacing w:before="120" w:beforeAutospacing="0" w:after="120" w:afterAutospacing="0" w:line="360" w:lineRule="auto"/>
        <w:ind w:left="142"/>
        <w:jc w:val="both"/>
        <w:rPr>
          <w:rFonts w:ascii="New Baskerville" w:hAnsi="New Baskerville"/>
          <w:sz w:val="22"/>
          <w:szCs w:val="22"/>
          <w:lang w:val="en-GB"/>
        </w:rPr>
      </w:pPr>
      <w:r w:rsidRPr="00215426">
        <w:rPr>
          <w:rFonts w:ascii="New Baskerville" w:hAnsi="New Baskerville"/>
          <w:sz w:val="22"/>
          <w:szCs w:val="22"/>
          <w:lang w:val="en-GB"/>
        </w:rPr>
        <w:t>Re</w:t>
      </w:r>
      <w:r w:rsidR="007A1DD8" w:rsidRPr="00215426">
        <w:rPr>
          <w:rFonts w:ascii="New Baskerville" w:hAnsi="New Baskerville"/>
          <w:sz w:val="22"/>
          <w:szCs w:val="22"/>
          <w:lang w:val="en-GB"/>
        </w:rPr>
        <w:t>c</w:t>
      </w:r>
      <w:r w:rsidRPr="00215426">
        <w:rPr>
          <w:rFonts w:ascii="New Baskerville" w:hAnsi="New Baskerville"/>
          <w:sz w:val="22"/>
          <w:szCs w:val="22"/>
          <w:lang w:val="en-GB"/>
        </w:rPr>
        <w:t xml:space="preserve">tor </w:t>
      </w:r>
      <w:r w:rsidR="007A1DD8" w:rsidRPr="00215426">
        <w:rPr>
          <w:rFonts w:ascii="New Baskerville" w:hAnsi="New Baskerville"/>
          <w:sz w:val="22"/>
          <w:szCs w:val="22"/>
          <w:lang w:val="en-GB"/>
        </w:rPr>
        <w:t>of the</w:t>
      </w:r>
      <w:r w:rsidRPr="00215426">
        <w:rPr>
          <w:rFonts w:ascii="New Baskerville" w:hAnsi="New Baskerville"/>
          <w:sz w:val="22"/>
          <w:szCs w:val="22"/>
          <w:lang w:val="en-GB"/>
        </w:rPr>
        <w:t xml:space="preserve"> Universidade de Vigo</w:t>
      </w:r>
      <w:r w:rsidRPr="00215426">
        <w:rPr>
          <w:rFonts w:ascii="New Baskerville" w:hAnsi="New Baskerville"/>
          <w:sz w:val="22"/>
          <w:szCs w:val="22"/>
          <w:lang w:val="en-GB"/>
        </w:rPr>
        <w:tab/>
      </w:r>
      <w:r w:rsidRPr="00215426">
        <w:rPr>
          <w:rFonts w:ascii="New Baskerville" w:hAnsi="New Baskerville"/>
          <w:sz w:val="22"/>
          <w:szCs w:val="22"/>
          <w:lang w:val="en-GB"/>
        </w:rPr>
        <w:tab/>
      </w:r>
      <w:r w:rsidR="007A1DD8" w:rsidRPr="00215426">
        <w:rPr>
          <w:rFonts w:ascii="New Baskerville" w:hAnsi="New Baskerville"/>
          <w:sz w:val="22"/>
          <w:szCs w:val="22"/>
          <w:lang w:val="en-GB"/>
        </w:rPr>
        <w:t>Representative from the collaborating entity</w:t>
      </w:r>
    </w:p>
    <w:p w14:paraId="01F2FDC8" w14:textId="77777777" w:rsidR="001B7F73" w:rsidRPr="00215426" w:rsidRDefault="001B7F73" w:rsidP="00FE368D">
      <w:pPr>
        <w:pStyle w:val="NormalWeb"/>
        <w:shd w:val="clear" w:color="auto" w:fill="EFEFEF"/>
        <w:spacing w:before="120" w:beforeAutospacing="0" w:after="120" w:afterAutospacing="0" w:line="360" w:lineRule="auto"/>
        <w:ind w:left="142"/>
        <w:rPr>
          <w:rFonts w:ascii="New Baskerville" w:hAnsi="New Baskerville"/>
          <w:sz w:val="20"/>
          <w:szCs w:val="20"/>
          <w:lang w:val="en-GB"/>
        </w:rPr>
      </w:pPr>
    </w:p>
    <w:p w14:paraId="61FE9AE6" w14:textId="77777777" w:rsidR="001B7F73" w:rsidRPr="00215426" w:rsidRDefault="001B7F73" w:rsidP="00FE368D">
      <w:pPr>
        <w:pStyle w:val="NormalWeb"/>
        <w:shd w:val="clear" w:color="auto" w:fill="EFEFEF"/>
        <w:spacing w:before="120" w:beforeAutospacing="0" w:after="120" w:afterAutospacing="0" w:line="360" w:lineRule="auto"/>
        <w:ind w:left="142"/>
        <w:rPr>
          <w:rFonts w:ascii="New Baskerville" w:hAnsi="New Baskerville"/>
          <w:sz w:val="20"/>
          <w:szCs w:val="20"/>
          <w:lang w:val="en-GB"/>
        </w:rPr>
      </w:pPr>
    </w:p>
    <w:sectPr w:rsidR="001B7F73" w:rsidRPr="00215426" w:rsidSect="008118F1">
      <w:headerReference w:type="default" r:id="rId7"/>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C3C9" w14:textId="77777777" w:rsidR="00F301AE" w:rsidRDefault="00F301AE" w:rsidP="00E97FAD">
      <w:r>
        <w:separator/>
      </w:r>
    </w:p>
  </w:endnote>
  <w:endnote w:type="continuationSeparator" w:id="0">
    <w:p w14:paraId="1B138068" w14:textId="77777777" w:rsidR="00F301AE" w:rsidRDefault="00F301AE"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Baskerville">
    <w:altName w:val="Cambr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285C" w14:textId="77777777" w:rsidR="00F301AE" w:rsidRDefault="00F301AE" w:rsidP="00E97FAD">
      <w:r>
        <w:separator/>
      </w:r>
    </w:p>
  </w:footnote>
  <w:footnote w:type="continuationSeparator" w:id="0">
    <w:p w14:paraId="59FAE7F1" w14:textId="77777777" w:rsidR="00F301AE" w:rsidRDefault="00F301AE" w:rsidP="00E97FAD">
      <w:r>
        <w:continuationSeparator/>
      </w:r>
    </w:p>
  </w:footnote>
  <w:footnote w:id="1">
    <w:p w14:paraId="679A29DD" w14:textId="6BC4E94F" w:rsidR="003020D0" w:rsidRPr="00B217D8" w:rsidRDefault="003020D0" w:rsidP="00B217D8">
      <w:pPr>
        <w:jc w:val="both"/>
        <w:rPr>
          <w:rFonts w:ascii="New Baskerville" w:hAnsi="New Baskerville"/>
          <w:sz w:val="20"/>
          <w:szCs w:val="20"/>
          <w:lang w:val="en-GB"/>
        </w:rPr>
      </w:pPr>
      <w:r w:rsidRPr="00B217D8">
        <w:rPr>
          <w:rFonts w:ascii="New Baskerville" w:hAnsi="New Baskerville"/>
          <w:sz w:val="20"/>
          <w:szCs w:val="20"/>
        </w:rPr>
        <w:footnoteRef/>
      </w:r>
      <w:r w:rsidRPr="00B217D8">
        <w:rPr>
          <w:rFonts w:ascii="New Baskerville" w:hAnsi="New Baskerville"/>
          <w:sz w:val="20"/>
          <w:szCs w:val="20"/>
          <w:lang w:val="en-GB"/>
        </w:rPr>
        <w:t xml:space="preserve"> The European </w:t>
      </w:r>
      <w:r w:rsidR="00BA2828" w:rsidRPr="00B217D8">
        <w:rPr>
          <w:rFonts w:ascii="New Baskerville" w:hAnsi="New Baskerville"/>
          <w:sz w:val="20"/>
          <w:szCs w:val="20"/>
          <w:lang w:val="en-GB"/>
        </w:rPr>
        <w:t>Commission</w:t>
      </w:r>
      <w:r w:rsidRPr="00B217D8">
        <w:rPr>
          <w:rFonts w:ascii="New Baskerville" w:hAnsi="New Baskerville"/>
          <w:sz w:val="20"/>
          <w:szCs w:val="20"/>
          <w:lang w:val="en-GB"/>
        </w:rPr>
        <w:t xml:space="preserve"> </w:t>
      </w:r>
      <w:r w:rsidR="00A24486">
        <w:rPr>
          <w:rFonts w:ascii="New Baskerville" w:hAnsi="New Baskerville"/>
          <w:sz w:val="20"/>
          <w:szCs w:val="20"/>
          <w:lang w:val="en-GB"/>
        </w:rPr>
        <w:t xml:space="preserve">has </w:t>
      </w:r>
      <w:r w:rsidRPr="00B217D8">
        <w:rPr>
          <w:rFonts w:ascii="New Baskerville" w:hAnsi="New Baskerville"/>
          <w:sz w:val="20"/>
          <w:szCs w:val="20"/>
          <w:lang w:val="en-GB"/>
        </w:rPr>
        <w:t xml:space="preserve">so far </w:t>
      </w:r>
      <w:r w:rsidR="00A24486">
        <w:rPr>
          <w:rFonts w:ascii="New Baskerville" w:hAnsi="New Baskerville"/>
          <w:sz w:val="20"/>
          <w:szCs w:val="20"/>
          <w:lang w:val="en-GB"/>
        </w:rPr>
        <w:t>recognised</w:t>
      </w:r>
      <w:r w:rsidRPr="00B217D8">
        <w:rPr>
          <w:rFonts w:ascii="New Baskerville" w:hAnsi="New Baskerville"/>
          <w:sz w:val="20"/>
          <w:szCs w:val="20"/>
          <w:lang w:val="en-GB"/>
        </w:rPr>
        <w:t xml:space="preserve"> </w:t>
      </w:r>
      <w:r w:rsidR="00A24486" w:rsidRPr="00A24486">
        <w:rPr>
          <w:rFonts w:ascii="New Baskerville" w:hAnsi="New Baskerville"/>
          <w:sz w:val="20"/>
          <w:szCs w:val="20"/>
          <w:lang w:val="en-GB"/>
        </w:rPr>
        <w:t>Andorra, Argentina, Canada</w:t>
      </w:r>
      <w:r w:rsidR="00A24486">
        <w:rPr>
          <w:rFonts w:ascii="New Baskerville" w:hAnsi="New Baskerville"/>
          <w:sz w:val="20"/>
          <w:szCs w:val="20"/>
          <w:lang w:val="en-GB"/>
        </w:rPr>
        <w:t xml:space="preserve">, </w:t>
      </w:r>
      <w:r w:rsidR="00A24486" w:rsidRPr="00A24486">
        <w:rPr>
          <w:rFonts w:ascii="New Baskerville" w:hAnsi="New Baskerville"/>
          <w:sz w:val="20"/>
          <w:szCs w:val="20"/>
          <w:lang w:val="en-GB"/>
        </w:rPr>
        <w:t>Faroe Islands, Guernsey, Israel, Isle of Man, Japan, Jersey, New Zealand, Republic of Korea, Switzerland, the United Kingdom and Uruguay</w:t>
      </w:r>
      <w:r w:rsidR="00A24486">
        <w:rPr>
          <w:rFonts w:ascii="New Baskerville" w:hAnsi="New Baskerville"/>
          <w:sz w:val="20"/>
          <w:szCs w:val="20"/>
          <w:lang w:val="en-GB"/>
        </w:rPr>
        <w:t xml:space="preserve"> as providing adequate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66E" w14:textId="77777777" w:rsidR="0063303C" w:rsidRDefault="0063303C">
    <w:pPr>
      <w:pStyle w:val="Encabezado"/>
    </w:pPr>
    <w:r>
      <w:rPr>
        <w:noProof/>
        <w:lang w:val="es-ES" w:eastAsia="es-ES"/>
      </w:rPr>
      <w:drawing>
        <wp:inline distT="0" distB="0" distL="0" distR="0" wp14:anchorId="252FC0CB" wp14:editId="3403EEA8">
          <wp:extent cx="19050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p w14:paraId="5CB6C21C" w14:textId="77777777" w:rsidR="008118F1" w:rsidRDefault="008118F1">
    <w:pPr>
      <w:pStyle w:val="Encabezado"/>
    </w:pPr>
  </w:p>
  <w:p w14:paraId="6A419871" w14:textId="77777777" w:rsidR="008118F1" w:rsidRDefault="008118F1">
    <w:pPr>
      <w:pStyle w:val="Encabezado"/>
    </w:pPr>
  </w:p>
  <w:p w14:paraId="718212F2" w14:textId="77777777" w:rsidR="008118F1" w:rsidRDefault="00811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2" w15:restartNumberingAfterBreak="0">
    <w:nsid w:val="24C716F2"/>
    <w:multiLevelType w:val="hybridMultilevel"/>
    <w:tmpl w:val="0218CAD2"/>
    <w:lvl w:ilvl="0" w:tplc="B0E6DBB6">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4" w15:restartNumberingAfterBreak="0">
    <w:nsid w:val="391A539F"/>
    <w:multiLevelType w:val="hybridMultilevel"/>
    <w:tmpl w:val="606EEC20"/>
    <w:lvl w:ilvl="0" w:tplc="FB30EB4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8E115A7"/>
    <w:multiLevelType w:val="hybridMultilevel"/>
    <w:tmpl w:val="29DC68B2"/>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6" w15:restartNumberingAfterBreak="0">
    <w:nsid w:val="767F27C9"/>
    <w:multiLevelType w:val="hybridMultilevel"/>
    <w:tmpl w:val="A228785E"/>
    <w:lvl w:ilvl="0" w:tplc="AC5CF88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16cid:durableId="2118134189">
    <w:abstractNumId w:val="1"/>
  </w:num>
  <w:num w:numId="2" w16cid:durableId="124548534">
    <w:abstractNumId w:val="0"/>
  </w:num>
  <w:num w:numId="3" w16cid:durableId="773404910">
    <w:abstractNumId w:val="7"/>
  </w:num>
  <w:num w:numId="4" w16cid:durableId="832792011">
    <w:abstractNumId w:val="3"/>
  </w:num>
  <w:num w:numId="5" w16cid:durableId="2070112096">
    <w:abstractNumId w:val="2"/>
  </w:num>
  <w:num w:numId="6" w16cid:durableId="1533347197">
    <w:abstractNumId w:val="5"/>
  </w:num>
  <w:num w:numId="7" w16cid:durableId="2135712832">
    <w:abstractNumId w:val="4"/>
  </w:num>
  <w:num w:numId="8" w16cid:durableId="1392847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C6"/>
    <w:rsid w:val="00051BBB"/>
    <w:rsid w:val="00067A1D"/>
    <w:rsid w:val="0007006C"/>
    <w:rsid w:val="001100A4"/>
    <w:rsid w:val="0013169E"/>
    <w:rsid w:val="00151620"/>
    <w:rsid w:val="001701FE"/>
    <w:rsid w:val="001914B6"/>
    <w:rsid w:val="001B7F73"/>
    <w:rsid w:val="001C24B7"/>
    <w:rsid w:val="001C6269"/>
    <w:rsid w:val="00200CD9"/>
    <w:rsid w:val="00210122"/>
    <w:rsid w:val="00215426"/>
    <w:rsid w:val="002221D3"/>
    <w:rsid w:val="002514F5"/>
    <w:rsid w:val="00256060"/>
    <w:rsid w:val="00264939"/>
    <w:rsid w:val="00284F26"/>
    <w:rsid w:val="00285D6D"/>
    <w:rsid w:val="00292D68"/>
    <w:rsid w:val="003020D0"/>
    <w:rsid w:val="00313F9B"/>
    <w:rsid w:val="00316ED2"/>
    <w:rsid w:val="0032603A"/>
    <w:rsid w:val="0033167F"/>
    <w:rsid w:val="003347A9"/>
    <w:rsid w:val="00347B83"/>
    <w:rsid w:val="003D64F1"/>
    <w:rsid w:val="004373FF"/>
    <w:rsid w:val="00450504"/>
    <w:rsid w:val="00494437"/>
    <w:rsid w:val="004E4A02"/>
    <w:rsid w:val="00520A61"/>
    <w:rsid w:val="00525AD8"/>
    <w:rsid w:val="00527765"/>
    <w:rsid w:val="005A7DAC"/>
    <w:rsid w:val="005B0E32"/>
    <w:rsid w:val="005F7090"/>
    <w:rsid w:val="0063066E"/>
    <w:rsid w:val="0063303C"/>
    <w:rsid w:val="00640636"/>
    <w:rsid w:val="00656C6B"/>
    <w:rsid w:val="00677A8F"/>
    <w:rsid w:val="006B03C6"/>
    <w:rsid w:val="006D1DBA"/>
    <w:rsid w:val="006D6841"/>
    <w:rsid w:val="006E1186"/>
    <w:rsid w:val="00726C25"/>
    <w:rsid w:val="007364FF"/>
    <w:rsid w:val="007437D2"/>
    <w:rsid w:val="00757A82"/>
    <w:rsid w:val="00760252"/>
    <w:rsid w:val="007972C5"/>
    <w:rsid w:val="007A1DD8"/>
    <w:rsid w:val="008118F1"/>
    <w:rsid w:val="0082417C"/>
    <w:rsid w:val="008461CB"/>
    <w:rsid w:val="00894DB3"/>
    <w:rsid w:val="00897BC7"/>
    <w:rsid w:val="008B0986"/>
    <w:rsid w:val="008D6BCC"/>
    <w:rsid w:val="008F0496"/>
    <w:rsid w:val="008F1A04"/>
    <w:rsid w:val="008F2CB7"/>
    <w:rsid w:val="00937134"/>
    <w:rsid w:val="009A3400"/>
    <w:rsid w:val="00A01DAA"/>
    <w:rsid w:val="00A14E41"/>
    <w:rsid w:val="00A24486"/>
    <w:rsid w:val="00A507F3"/>
    <w:rsid w:val="00A5324C"/>
    <w:rsid w:val="00A83637"/>
    <w:rsid w:val="00AC6D97"/>
    <w:rsid w:val="00B1391C"/>
    <w:rsid w:val="00B1573D"/>
    <w:rsid w:val="00B217D8"/>
    <w:rsid w:val="00B37872"/>
    <w:rsid w:val="00B73323"/>
    <w:rsid w:val="00B93DD8"/>
    <w:rsid w:val="00B93E60"/>
    <w:rsid w:val="00B9631F"/>
    <w:rsid w:val="00BA2828"/>
    <w:rsid w:val="00BC1FC0"/>
    <w:rsid w:val="00BE27AF"/>
    <w:rsid w:val="00C34E56"/>
    <w:rsid w:val="00C64284"/>
    <w:rsid w:val="00C81DA4"/>
    <w:rsid w:val="00CB4B8B"/>
    <w:rsid w:val="00CC3638"/>
    <w:rsid w:val="00CD76F1"/>
    <w:rsid w:val="00D050D9"/>
    <w:rsid w:val="00D071EF"/>
    <w:rsid w:val="00D13027"/>
    <w:rsid w:val="00D210DB"/>
    <w:rsid w:val="00D564DC"/>
    <w:rsid w:val="00DA0FE1"/>
    <w:rsid w:val="00DE4F9D"/>
    <w:rsid w:val="00E1344F"/>
    <w:rsid w:val="00E367E2"/>
    <w:rsid w:val="00E71610"/>
    <w:rsid w:val="00E92CAE"/>
    <w:rsid w:val="00E97FAD"/>
    <w:rsid w:val="00ED6A76"/>
    <w:rsid w:val="00F20DB2"/>
    <w:rsid w:val="00F26994"/>
    <w:rsid w:val="00F301AE"/>
    <w:rsid w:val="00F411C6"/>
    <w:rsid w:val="00F41555"/>
    <w:rsid w:val="00F60AB1"/>
    <w:rsid w:val="00F726EE"/>
    <w:rsid w:val="00F90081"/>
    <w:rsid w:val="00FE368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1B1A"/>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paragraph" w:styleId="Ttulo2">
    <w:name w:val="heading 2"/>
    <w:basedOn w:val="Normal"/>
    <w:next w:val="Normal"/>
    <w:link w:val="Ttulo2Car"/>
    <w:uiPriority w:val="9"/>
    <w:unhideWhenUsed/>
    <w:qFormat/>
    <w:rsid w:val="00313F9B"/>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34"/>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 w:type="paragraph" w:styleId="Textonotapie">
    <w:name w:val="footnote text"/>
    <w:basedOn w:val="Normal"/>
    <w:link w:val="TextonotapieCar"/>
    <w:uiPriority w:val="99"/>
    <w:unhideWhenUsed/>
    <w:rsid w:val="0032603A"/>
    <w:pPr>
      <w:widowControl/>
      <w:autoSpaceDE/>
      <w:autoSpaceDN/>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2603A"/>
    <w:rPr>
      <w:rFonts w:ascii="Calibri" w:eastAsia="Calibri" w:hAnsi="Calibri" w:cs="Times New Roman"/>
      <w:sz w:val="20"/>
      <w:szCs w:val="20"/>
      <w:lang w:val="gl-ES"/>
    </w:rPr>
  </w:style>
  <w:style w:type="character" w:customStyle="1" w:styleId="Ttulo2Car">
    <w:name w:val="Título 2 Car"/>
    <w:basedOn w:val="Fuentedeprrafopredeter"/>
    <w:link w:val="Ttulo2"/>
    <w:uiPriority w:val="9"/>
    <w:rsid w:val="00313F9B"/>
    <w:rPr>
      <w:rFonts w:asciiTheme="majorHAnsi" w:eastAsiaTheme="majorEastAsia" w:hAnsiTheme="majorHAnsi" w:cstheme="majorBidi"/>
      <w:color w:val="365F91" w:themeColor="accent1" w:themeShade="BF"/>
      <w:sz w:val="26"/>
      <w:szCs w:val="26"/>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2055</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Peiró Arroyo</dc:creator>
  <cp:lastModifiedBy>Rosa Dominica Cano Viñas</cp:lastModifiedBy>
  <cp:revision>14</cp:revision>
  <cp:lastPrinted>2021-03-09T08:51:00Z</cp:lastPrinted>
  <dcterms:created xsi:type="dcterms:W3CDTF">2023-05-04T11:41:00Z</dcterms:created>
  <dcterms:modified xsi:type="dcterms:W3CDTF">2024-01-31T08:56:00Z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